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28"/>
          <w:szCs w:val="28"/>
        </w:rPr>
      </w:pPr>
      <w:r>
        <w:rPr>
          <w:rFonts w:hint="eastAsia" w:ascii="黑体" w:hAnsi="黑体" w:eastAsia="黑体" w:cs="黑体"/>
          <w:bCs/>
          <w:sz w:val="28"/>
          <w:szCs w:val="28"/>
        </w:rPr>
        <w:t>附件：</w:t>
      </w:r>
    </w:p>
    <w:p>
      <w:pPr>
        <w:jc w:val="center"/>
        <w:rPr>
          <w:rFonts w:ascii="宋体" w:hAnsi="宋体" w:cs="宋体"/>
          <w:bCs/>
          <w:sz w:val="20"/>
        </w:rPr>
      </w:pPr>
      <w:bookmarkStart w:id="0" w:name="_GoBack"/>
      <w:bookmarkEnd w:id="0"/>
      <w:r>
        <w:rPr>
          <w:rFonts w:hint="eastAsia" w:ascii="黑体" w:hAnsi="黑体" w:eastAsia="黑体" w:cs="黑体"/>
          <w:bCs/>
          <w:sz w:val="30"/>
          <w:szCs w:val="30"/>
        </w:rPr>
        <w:t>中国煤炭地质总局资产评估项目公示表</w:t>
      </w:r>
    </w:p>
    <w:p>
      <w:pPr>
        <w:rPr>
          <w:rFonts w:ascii="宋体" w:hAnsi="宋体" w:cs="宋体"/>
          <w:bCs/>
          <w:sz w:val="20"/>
        </w:rPr>
      </w:pPr>
      <w:r>
        <w:rPr>
          <w:rFonts w:hint="eastAsia" w:ascii="宋体" w:hAnsi="宋体" w:cs="宋体"/>
          <w:bCs/>
          <w:sz w:val="20"/>
        </w:rPr>
        <w:t>评估项目：中国煤炭地质总局普查队韩山地块及房屋征收项目评估</w:t>
      </w:r>
    </w:p>
    <w:p>
      <w:pPr>
        <w:rPr>
          <w:rFonts w:ascii="宋体" w:hAnsi="宋体" w:cs="宋体"/>
          <w:bCs/>
          <w:sz w:val="20"/>
        </w:rPr>
      </w:pPr>
      <w:r>
        <w:rPr>
          <w:rFonts w:hint="eastAsia" w:ascii="宋体" w:hAnsi="宋体" w:cs="宋体"/>
          <w:bCs/>
          <w:sz w:val="20"/>
        </w:rPr>
        <w:t>公示期限：202</w:t>
      </w:r>
      <w:r>
        <w:rPr>
          <w:rFonts w:ascii="宋体" w:hAnsi="宋体" w:cs="宋体"/>
          <w:bCs/>
          <w:sz w:val="20"/>
        </w:rPr>
        <w:t>1</w:t>
      </w:r>
      <w:r>
        <w:rPr>
          <w:rFonts w:hint="eastAsia" w:ascii="宋体" w:hAnsi="宋体" w:cs="宋体"/>
          <w:bCs/>
          <w:sz w:val="20"/>
        </w:rPr>
        <w:t>年</w:t>
      </w:r>
      <w:r>
        <w:rPr>
          <w:rFonts w:ascii="宋体" w:hAnsi="宋体" w:cs="宋体"/>
          <w:bCs/>
          <w:sz w:val="20"/>
        </w:rPr>
        <w:t>3</w:t>
      </w:r>
      <w:r>
        <w:rPr>
          <w:rFonts w:hint="eastAsia" w:ascii="宋体" w:hAnsi="宋体" w:cs="宋体"/>
          <w:bCs/>
          <w:sz w:val="20"/>
        </w:rPr>
        <w:t>月2</w:t>
      </w:r>
      <w:r>
        <w:rPr>
          <w:rFonts w:ascii="宋体" w:hAnsi="宋体" w:cs="宋体"/>
          <w:bCs/>
          <w:sz w:val="20"/>
        </w:rPr>
        <w:t>2</w:t>
      </w:r>
      <w:r>
        <w:rPr>
          <w:rFonts w:hint="eastAsia" w:ascii="宋体" w:hAnsi="宋体" w:cs="宋体"/>
          <w:bCs/>
          <w:sz w:val="20"/>
        </w:rPr>
        <w:t>日至202</w:t>
      </w:r>
      <w:r>
        <w:rPr>
          <w:rFonts w:ascii="宋体" w:hAnsi="宋体" w:cs="宋体"/>
          <w:bCs/>
          <w:sz w:val="20"/>
        </w:rPr>
        <w:t>1</w:t>
      </w:r>
      <w:r>
        <w:rPr>
          <w:rFonts w:hint="eastAsia" w:ascii="宋体" w:hAnsi="宋体" w:cs="宋体"/>
          <w:bCs/>
          <w:sz w:val="20"/>
        </w:rPr>
        <w:t>年</w:t>
      </w:r>
      <w:r>
        <w:rPr>
          <w:rFonts w:ascii="宋体" w:hAnsi="宋体" w:cs="宋体"/>
          <w:bCs/>
          <w:sz w:val="20"/>
        </w:rPr>
        <w:t>3</w:t>
      </w:r>
      <w:r>
        <w:rPr>
          <w:rFonts w:hint="eastAsia" w:ascii="宋体" w:hAnsi="宋体" w:cs="宋体"/>
          <w:bCs/>
          <w:sz w:val="20"/>
        </w:rPr>
        <w:t>月2</w:t>
      </w:r>
      <w:r>
        <w:rPr>
          <w:rFonts w:ascii="宋体" w:hAnsi="宋体" w:cs="宋体"/>
          <w:bCs/>
          <w:sz w:val="20"/>
        </w:rPr>
        <w:t>6</w:t>
      </w:r>
      <w:r>
        <w:rPr>
          <w:rFonts w:hint="eastAsia" w:ascii="宋体" w:hAnsi="宋体" w:cs="宋体"/>
          <w:bCs/>
          <w:sz w:val="20"/>
        </w:rPr>
        <w:t>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35"/>
        <w:gridCol w:w="1295"/>
        <w:gridCol w:w="1210"/>
        <w:gridCol w:w="1260"/>
        <w:gridCol w:w="123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4" w:type="dxa"/>
            <w:noWrap w:val="0"/>
            <w:vAlign w:val="center"/>
          </w:tcPr>
          <w:p>
            <w:pPr>
              <w:jc w:val="center"/>
              <w:rPr>
                <w:rFonts w:ascii="宋体" w:hAnsi="宋体" w:cs="宋体"/>
                <w:bCs/>
                <w:sz w:val="20"/>
              </w:rPr>
            </w:pPr>
            <w:r>
              <w:rPr>
                <w:rFonts w:hint="eastAsia" w:ascii="宋体" w:hAnsi="宋体" w:cs="宋体"/>
                <w:bCs/>
                <w:sz w:val="20"/>
              </w:rPr>
              <w:t>序号</w:t>
            </w:r>
          </w:p>
        </w:tc>
        <w:tc>
          <w:tcPr>
            <w:tcW w:w="1635" w:type="dxa"/>
            <w:noWrap w:val="0"/>
            <w:vAlign w:val="center"/>
          </w:tcPr>
          <w:p>
            <w:pPr>
              <w:jc w:val="center"/>
              <w:rPr>
                <w:rFonts w:ascii="宋体" w:hAnsi="宋体" w:cs="宋体"/>
                <w:bCs/>
                <w:sz w:val="20"/>
              </w:rPr>
            </w:pPr>
            <w:r>
              <w:rPr>
                <w:rFonts w:hint="eastAsia" w:ascii="宋体" w:hAnsi="宋体" w:cs="宋体"/>
                <w:bCs/>
                <w:sz w:val="20"/>
              </w:rPr>
              <w:t>公示项目</w:t>
            </w:r>
          </w:p>
        </w:tc>
        <w:tc>
          <w:tcPr>
            <w:tcW w:w="6381" w:type="dxa"/>
            <w:gridSpan w:val="5"/>
            <w:noWrap w:val="0"/>
            <w:vAlign w:val="center"/>
          </w:tcPr>
          <w:p>
            <w:pPr>
              <w:jc w:val="center"/>
              <w:rPr>
                <w:rFonts w:ascii="宋体" w:hAnsi="宋体" w:cs="宋体"/>
                <w:bCs/>
                <w:sz w:val="20"/>
              </w:rPr>
            </w:pPr>
            <w:r>
              <w:rPr>
                <w:rFonts w:hint="eastAsia" w:ascii="宋体" w:hAnsi="宋体" w:cs="宋体"/>
                <w:bCs/>
                <w:sz w:val="20"/>
              </w:rPr>
              <w:t>公示内容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504" w:type="dxa"/>
            <w:noWrap w:val="0"/>
            <w:vAlign w:val="center"/>
          </w:tcPr>
          <w:p>
            <w:pPr>
              <w:jc w:val="center"/>
              <w:rPr>
                <w:rFonts w:ascii="宋体" w:hAnsi="宋体" w:cs="宋体"/>
                <w:bCs/>
                <w:sz w:val="20"/>
              </w:rPr>
            </w:pPr>
            <w:r>
              <w:rPr>
                <w:rFonts w:hint="eastAsia" w:ascii="宋体" w:hAnsi="宋体" w:cs="宋体"/>
                <w:bCs/>
                <w:sz w:val="20"/>
              </w:rPr>
              <w:t>1</w:t>
            </w:r>
          </w:p>
        </w:tc>
        <w:tc>
          <w:tcPr>
            <w:tcW w:w="1635" w:type="dxa"/>
            <w:noWrap w:val="0"/>
            <w:vAlign w:val="center"/>
          </w:tcPr>
          <w:p>
            <w:pPr>
              <w:jc w:val="center"/>
              <w:rPr>
                <w:rFonts w:ascii="宋体" w:hAnsi="宋体" w:cs="宋体"/>
                <w:bCs/>
                <w:sz w:val="20"/>
              </w:rPr>
            </w:pPr>
            <w:r>
              <w:rPr>
                <w:rFonts w:hint="eastAsia" w:ascii="宋体" w:hAnsi="宋体" w:cs="宋体"/>
                <w:bCs/>
                <w:sz w:val="20"/>
              </w:rPr>
              <w:t>经济行为批准</w:t>
            </w:r>
          </w:p>
          <w:p>
            <w:pPr>
              <w:jc w:val="center"/>
              <w:rPr>
                <w:rFonts w:ascii="宋体" w:hAnsi="宋体" w:cs="宋体"/>
                <w:bCs/>
                <w:sz w:val="20"/>
              </w:rPr>
            </w:pPr>
            <w:r>
              <w:rPr>
                <w:rFonts w:hint="eastAsia" w:ascii="宋体" w:hAnsi="宋体" w:cs="宋体"/>
                <w:bCs/>
                <w:sz w:val="20"/>
              </w:rPr>
              <w:t>文件</w:t>
            </w:r>
          </w:p>
        </w:tc>
        <w:tc>
          <w:tcPr>
            <w:tcW w:w="6381" w:type="dxa"/>
            <w:gridSpan w:val="5"/>
            <w:noWrap w:val="0"/>
            <w:vAlign w:val="center"/>
          </w:tcPr>
          <w:p>
            <w:pPr>
              <w:rPr>
                <w:rFonts w:ascii="宋体" w:hAnsi="宋体" w:cs="宋体"/>
                <w:bCs/>
                <w:sz w:val="20"/>
              </w:rPr>
            </w:pPr>
            <w:r>
              <w:rPr>
                <w:rFonts w:hint="eastAsia" w:ascii="宋体" w:hAnsi="宋体" w:cs="宋体"/>
                <w:bCs/>
                <w:sz w:val="20"/>
              </w:rPr>
              <w:t>《中国煤炭地质总局关于江苏地质矿产设计研究院韩山地块评估的批复》(中煤地办发财务[2020]65号)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04" w:type="dxa"/>
            <w:noWrap w:val="0"/>
            <w:vAlign w:val="center"/>
          </w:tcPr>
          <w:p>
            <w:pPr>
              <w:jc w:val="center"/>
              <w:rPr>
                <w:rFonts w:ascii="宋体" w:hAnsi="宋体" w:cs="宋体"/>
                <w:bCs/>
                <w:sz w:val="20"/>
              </w:rPr>
            </w:pPr>
            <w:r>
              <w:rPr>
                <w:rFonts w:hint="eastAsia" w:ascii="宋体" w:hAnsi="宋体" w:cs="宋体"/>
                <w:bCs/>
                <w:sz w:val="20"/>
              </w:rPr>
              <w:t>2</w:t>
            </w:r>
          </w:p>
        </w:tc>
        <w:tc>
          <w:tcPr>
            <w:tcW w:w="1635" w:type="dxa"/>
            <w:noWrap w:val="0"/>
            <w:vAlign w:val="center"/>
          </w:tcPr>
          <w:p>
            <w:pPr>
              <w:jc w:val="center"/>
              <w:rPr>
                <w:rFonts w:ascii="宋体" w:hAnsi="宋体" w:cs="宋体"/>
                <w:bCs/>
                <w:sz w:val="20"/>
              </w:rPr>
            </w:pPr>
            <w:r>
              <w:rPr>
                <w:rFonts w:hint="eastAsia" w:ascii="宋体" w:hAnsi="宋体" w:cs="宋体"/>
                <w:bCs/>
                <w:sz w:val="20"/>
              </w:rPr>
              <w:t>评估机构选聘</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rPr>
                <w:rFonts w:ascii="宋体" w:hAnsi="宋体" w:cs="宋体"/>
                <w:bCs/>
                <w:sz w:val="20"/>
              </w:rPr>
            </w:pPr>
            <w:r>
              <w:rPr>
                <w:rFonts w:hint="eastAsia" w:ascii="宋体" w:hAnsi="宋体" w:cs="宋体"/>
                <w:bCs/>
                <w:sz w:val="20"/>
              </w:rPr>
              <w:t>总局资产财务部</w:t>
            </w:r>
            <w:r>
              <w:rPr>
                <w:rFonts w:hint="eastAsia" w:ascii="宋体" w:hAnsi="宋体" w:cs="宋体"/>
                <w:bCs/>
                <w:sz w:val="20"/>
                <w:lang w:eastAsia="zh-CN"/>
              </w:rPr>
              <w:t>按照询价比选的方式，按照相关程序，从</w:t>
            </w:r>
            <w:r>
              <w:rPr>
                <w:rFonts w:hint="eastAsia" w:ascii="宋体" w:hAnsi="宋体" w:cs="宋体"/>
                <w:bCs/>
                <w:sz w:val="20"/>
              </w:rPr>
              <w:t>总局评估机构备选库中</w:t>
            </w:r>
            <w:r>
              <w:rPr>
                <w:rFonts w:hint="eastAsia" w:ascii="宋体" w:hAnsi="宋体" w:cs="宋体"/>
                <w:bCs/>
                <w:sz w:val="20"/>
                <w:lang w:eastAsia="zh-CN"/>
              </w:rPr>
              <w:t>择优选择</w:t>
            </w:r>
            <w:r>
              <w:rPr>
                <w:rFonts w:hint="eastAsia" w:ascii="宋体" w:hAnsi="宋体" w:cs="宋体"/>
                <w:bCs/>
                <w:sz w:val="20"/>
              </w:rPr>
              <w:t>符合要求的评估机构。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04" w:type="dxa"/>
            <w:noWrap w:val="0"/>
            <w:vAlign w:val="center"/>
          </w:tcPr>
          <w:p>
            <w:pPr>
              <w:jc w:val="center"/>
              <w:rPr>
                <w:rFonts w:ascii="宋体" w:hAnsi="宋体" w:cs="宋体"/>
                <w:bCs/>
                <w:sz w:val="20"/>
              </w:rPr>
            </w:pPr>
          </w:p>
          <w:p>
            <w:pPr>
              <w:jc w:val="center"/>
              <w:rPr>
                <w:rFonts w:ascii="宋体" w:hAnsi="宋体" w:cs="宋体"/>
                <w:bCs/>
                <w:sz w:val="20"/>
              </w:rPr>
            </w:pPr>
            <w:r>
              <w:rPr>
                <w:rFonts w:hint="eastAsia" w:ascii="宋体" w:hAnsi="宋体" w:cs="宋体"/>
                <w:bCs/>
                <w:sz w:val="20"/>
              </w:rPr>
              <w:t>3</w:t>
            </w:r>
          </w:p>
        </w:tc>
        <w:tc>
          <w:tcPr>
            <w:tcW w:w="1635" w:type="dxa"/>
            <w:noWrap w:val="0"/>
            <w:vAlign w:val="center"/>
          </w:tcPr>
          <w:p>
            <w:pPr>
              <w:jc w:val="center"/>
              <w:rPr>
                <w:rFonts w:ascii="宋体" w:hAnsi="宋体" w:cs="宋体"/>
                <w:bCs/>
                <w:sz w:val="20"/>
              </w:rPr>
            </w:pPr>
            <w:r>
              <w:rPr>
                <w:rFonts w:hint="eastAsia" w:ascii="宋体" w:hAnsi="宋体" w:cs="宋体"/>
                <w:bCs/>
                <w:sz w:val="20"/>
              </w:rPr>
              <w:t>评估机构及评估师资质</w:t>
            </w:r>
          </w:p>
        </w:tc>
        <w:tc>
          <w:tcPr>
            <w:tcW w:w="6381" w:type="dxa"/>
            <w:gridSpan w:val="5"/>
            <w:noWrap w:val="0"/>
            <w:vAlign w:val="center"/>
          </w:tcPr>
          <w:p>
            <w:pPr>
              <w:rPr>
                <w:rFonts w:ascii="宋体" w:hAnsi="宋体" w:cs="宋体"/>
                <w:bCs/>
                <w:sz w:val="20"/>
              </w:rPr>
            </w:pPr>
            <w:r>
              <w:rPr>
                <w:rFonts w:hint="eastAsia" w:ascii="宋体" w:hAnsi="宋体" w:cs="宋体"/>
                <w:bCs/>
                <w:sz w:val="20"/>
              </w:rPr>
              <w:t>北京中地华夏土地房地产评估有限公司：牛宇辰，1120070043；纪成昌1120140073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4" w:type="dxa"/>
            <w:noWrap w:val="0"/>
            <w:vAlign w:val="center"/>
          </w:tcPr>
          <w:p>
            <w:pPr>
              <w:jc w:val="center"/>
              <w:rPr>
                <w:rFonts w:ascii="宋体" w:hAnsi="宋体" w:cs="宋体"/>
                <w:bCs/>
                <w:sz w:val="20"/>
              </w:rPr>
            </w:pPr>
            <w:r>
              <w:rPr>
                <w:rFonts w:hint="eastAsia" w:ascii="宋体" w:hAnsi="宋体" w:cs="宋体"/>
                <w:bCs/>
                <w:sz w:val="20"/>
              </w:rPr>
              <w:t>4</w:t>
            </w:r>
          </w:p>
        </w:tc>
        <w:tc>
          <w:tcPr>
            <w:tcW w:w="1635" w:type="dxa"/>
            <w:noWrap w:val="0"/>
            <w:vAlign w:val="center"/>
          </w:tcPr>
          <w:p>
            <w:pPr>
              <w:jc w:val="center"/>
              <w:rPr>
                <w:rFonts w:ascii="宋体" w:hAnsi="宋体" w:cs="宋体"/>
                <w:bCs/>
                <w:sz w:val="20"/>
              </w:rPr>
            </w:pPr>
            <w:r>
              <w:rPr>
                <w:rFonts w:hint="eastAsia" w:ascii="宋体" w:hAnsi="宋体" w:cs="宋体"/>
                <w:bCs/>
                <w:sz w:val="20"/>
              </w:rPr>
              <w:t>评估程序履行及审核情况</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总局选聘北京中地华夏土地房地产评估有限公司对位于江苏省徐州市泉山区韩山路与湖滨路交叉路口的房地产开展评估工作，</w:t>
            </w:r>
            <w:r>
              <w:rPr>
                <w:rFonts w:hint="eastAsia" w:ascii="宋体" w:hAnsi="宋体" w:cs="宋体"/>
                <w:bCs/>
                <w:sz w:val="20"/>
                <w:lang w:eastAsia="zh-CN"/>
              </w:rPr>
              <w:t>并按照总局资产评估管理办法相关要求，对评估报告开展了逐级审核</w:t>
            </w:r>
            <w:r>
              <w:rPr>
                <w:rFonts w:hint="eastAsia" w:ascii="宋体" w:hAnsi="宋体" w:cs="宋体"/>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504" w:type="dxa"/>
            <w:noWrap w:val="0"/>
            <w:vAlign w:val="center"/>
          </w:tcPr>
          <w:p>
            <w:pPr>
              <w:jc w:val="center"/>
              <w:rPr>
                <w:rFonts w:ascii="宋体" w:hAnsi="宋体" w:cs="宋体"/>
                <w:bCs/>
                <w:sz w:val="20"/>
              </w:rPr>
            </w:pPr>
            <w:r>
              <w:rPr>
                <w:rFonts w:hint="eastAsia" w:ascii="宋体" w:hAnsi="宋体" w:cs="宋体"/>
                <w:bCs/>
                <w:sz w:val="20"/>
              </w:rPr>
              <w:t>5</w:t>
            </w:r>
          </w:p>
        </w:tc>
        <w:tc>
          <w:tcPr>
            <w:tcW w:w="1635" w:type="dxa"/>
            <w:noWrap w:val="0"/>
            <w:vAlign w:val="center"/>
          </w:tcPr>
          <w:p>
            <w:pPr>
              <w:jc w:val="center"/>
              <w:rPr>
                <w:rFonts w:ascii="宋体" w:hAnsi="宋体" w:cs="宋体"/>
                <w:bCs/>
                <w:sz w:val="20"/>
              </w:rPr>
            </w:pPr>
            <w:r>
              <w:rPr>
                <w:rFonts w:hint="eastAsia" w:ascii="宋体" w:hAnsi="宋体" w:cs="宋体"/>
                <w:bCs/>
                <w:sz w:val="20"/>
              </w:rPr>
              <w:t>评估报告摘要和特别事项说明</w:t>
            </w:r>
          </w:p>
        </w:tc>
        <w:tc>
          <w:tcPr>
            <w:tcW w:w="6381" w:type="dxa"/>
            <w:gridSpan w:val="5"/>
            <w:noWrap w:val="0"/>
            <w:vAlign w:val="center"/>
          </w:tcPr>
          <w:p>
            <w:pPr>
              <w:widowControl/>
              <w:jc w:val="left"/>
              <w:rPr>
                <w:rFonts w:ascii="宋体" w:hAnsi="宋体" w:cs="宋体"/>
                <w:bCs/>
                <w:sz w:val="20"/>
              </w:rPr>
            </w:pPr>
            <w:r>
              <w:rPr>
                <w:rFonts w:hint="eastAsia" w:ascii="宋体" w:hAnsi="宋体" w:cs="宋体"/>
                <w:bCs/>
                <w:sz w:val="20"/>
              </w:rPr>
              <w:t>北京中地华夏土地房地产评估有限公司接受总局的委托，对位于江苏省徐州市泉山区韩山路与湖滨路交叉路口的房地产于20</w:t>
            </w:r>
            <w:r>
              <w:rPr>
                <w:rFonts w:ascii="宋体" w:hAnsi="宋体" w:cs="宋体"/>
                <w:bCs/>
                <w:sz w:val="20"/>
              </w:rPr>
              <w:t>20</w:t>
            </w:r>
            <w:r>
              <w:rPr>
                <w:rFonts w:hint="eastAsia" w:ascii="宋体" w:hAnsi="宋体" w:cs="宋体"/>
                <w:bCs/>
                <w:sz w:val="20"/>
              </w:rPr>
              <w:t>年</w:t>
            </w:r>
            <w:r>
              <w:rPr>
                <w:rFonts w:ascii="宋体" w:hAnsi="宋体" w:cs="宋体"/>
                <w:bCs/>
                <w:sz w:val="20"/>
              </w:rPr>
              <w:t>7</w:t>
            </w:r>
            <w:r>
              <w:rPr>
                <w:rFonts w:hint="eastAsia" w:ascii="宋体" w:hAnsi="宋体" w:cs="宋体"/>
                <w:bCs/>
                <w:sz w:val="20"/>
              </w:rPr>
              <w:t>月31日的市场价格开展评估，为确定该房地产市场价值提供参考依据。估价对象包括位于徐州市泉山区韩山路与湖滨路交叉路口的房地产，包括土地使用权、地上建筑物，土地面积：4302.8平方米，建筑面积：863.92平方米。根据国有土地使用证（徐土国用（97）字第18618号）、房屋所有权证（市房字第97201758号），中国煤炭地质总局普查队以转让方式取得了估价对象的国有土地使用权及房屋所有权，至价值时点，估价对象剩余土地使用年限为</w:t>
            </w:r>
            <w:r>
              <w:rPr>
                <w:rFonts w:ascii="宋体" w:hAnsi="宋体" w:cs="宋体"/>
                <w:bCs/>
                <w:sz w:val="20"/>
              </w:rPr>
              <w:t>22.34</w:t>
            </w:r>
            <w:r>
              <w:rPr>
                <w:rFonts w:hint="eastAsia" w:ascii="宋体" w:hAnsi="宋体" w:cs="宋体"/>
                <w:bCs/>
                <w:sz w:val="20"/>
              </w:rPr>
              <w:t>年，估价时点不存在抵押权。估价对象位于徐州市泉山区韩山路与湖滨路交叉路口。本次评估采用成本法进行评估。位于徐州市泉山区韩山路与湖滨路交叉路口的房地产于评估基准日正常市场条件下满足估价假设条件的房地产市场价值为：</w:t>
            </w:r>
            <w:r>
              <w:rPr>
                <w:rFonts w:ascii="宋体" w:hAnsi="宋体" w:cs="宋体"/>
                <w:bCs/>
                <w:sz w:val="20"/>
              </w:rPr>
              <w:t>436.65</w:t>
            </w:r>
            <w:r>
              <w:rPr>
                <w:rFonts w:hint="eastAsia" w:ascii="宋体" w:hAnsi="宋体" w:cs="宋体"/>
                <w:bCs/>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04" w:type="dxa"/>
            <w:vMerge w:val="restart"/>
            <w:noWrap w:val="0"/>
            <w:vAlign w:val="center"/>
          </w:tcPr>
          <w:p>
            <w:pPr>
              <w:jc w:val="center"/>
              <w:rPr>
                <w:rFonts w:ascii="宋体" w:hAnsi="宋体" w:cs="宋体"/>
                <w:bCs/>
                <w:sz w:val="20"/>
              </w:rPr>
            </w:pPr>
            <w:r>
              <w:rPr>
                <w:rFonts w:hint="eastAsia" w:ascii="宋体" w:hAnsi="宋体" w:cs="宋体"/>
                <w:bCs/>
                <w:sz w:val="20"/>
              </w:rPr>
              <w:t>6</w:t>
            </w:r>
          </w:p>
        </w:tc>
        <w:tc>
          <w:tcPr>
            <w:tcW w:w="1635" w:type="dxa"/>
            <w:vMerge w:val="restart"/>
            <w:noWrap w:val="0"/>
            <w:vAlign w:val="center"/>
          </w:tcPr>
          <w:p>
            <w:pPr>
              <w:jc w:val="center"/>
              <w:rPr>
                <w:rFonts w:ascii="宋体" w:hAnsi="宋体" w:cs="宋体"/>
                <w:bCs/>
                <w:sz w:val="20"/>
              </w:rPr>
            </w:pPr>
            <w:r>
              <w:rPr>
                <w:rFonts w:hint="eastAsia" w:ascii="宋体" w:hAnsi="宋体" w:cs="宋体"/>
                <w:bCs/>
                <w:sz w:val="20"/>
              </w:rPr>
              <w:t>评估结果汇总表</w:t>
            </w:r>
          </w:p>
          <w:p>
            <w:pPr>
              <w:jc w:val="center"/>
              <w:rPr>
                <w:rFonts w:ascii="宋体" w:hAnsi="宋体" w:cs="宋体"/>
                <w:bCs/>
                <w:sz w:val="20"/>
              </w:rPr>
            </w:pPr>
            <w:r>
              <w:rPr>
                <w:rFonts w:hint="eastAsia" w:ascii="宋体" w:hAnsi="宋体" w:cs="宋体"/>
                <w:bCs/>
                <w:sz w:val="20"/>
              </w:rPr>
              <w:t>（单位：万元）</w:t>
            </w:r>
          </w:p>
        </w:tc>
        <w:tc>
          <w:tcPr>
            <w:tcW w:w="1295" w:type="dxa"/>
            <w:noWrap w:val="0"/>
            <w:vAlign w:val="center"/>
          </w:tcPr>
          <w:p>
            <w:pPr>
              <w:jc w:val="center"/>
              <w:rPr>
                <w:rFonts w:ascii="宋体" w:hAnsi="宋体" w:cs="宋体"/>
                <w:bCs/>
                <w:sz w:val="20"/>
              </w:rPr>
            </w:pPr>
            <w:r>
              <w:rPr>
                <w:rFonts w:hint="eastAsia" w:ascii="宋体" w:hAnsi="宋体" w:cs="宋体"/>
                <w:bCs/>
                <w:sz w:val="20"/>
              </w:rPr>
              <w:t>项  目</w:t>
            </w:r>
          </w:p>
        </w:tc>
        <w:tc>
          <w:tcPr>
            <w:tcW w:w="1210" w:type="dxa"/>
            <w:noWrap w:val="0"/>
            <w:vAlign w:val="center"/>
          </w:tcPr>
          <w:p>
            <w:pPr>
              <w:jc w:val="center"/>
              <w:rPr>
                <w:rFonts w:ascii="宋体" w:hAnsi="宋体" w:cs="宋体"/>
                <w:bCs/>
                <w:sz w:val="20"/>
              </w:rPr>
            </w:pPr>
            <w:r>
              <w:rPr>
                <w:rFonts w:hint="eastAsia" w:ascii="宋体" w:hAnsi="宋体" w:cs="宋体"/>
                <w:bCs/>
                <w:sz w:val="20"/>
              </w:rPr>
              <w:t>账面价值</w:t>
            </w:r>
          </w:p>
        </w:tc>
        <w:tc>
          <w:tcPr>
            <w:tcW w:w="1260" w:type="dxa"/>
            <w:noWrap w:val="0"/>
            <w:vAlign w:val="center"/>
          </w:tcPr>
          <w:p>
            <w:pPr>
              <w:jc w:val="center"/>
              <w:rPr>
                <w:rFonts w:ascii="宋体" w:hAnsi="宋体" w:cs="宋体"/>
                <w:bCs/>
                <w:sz w:val="20"/>
              </w:rPr>
            </w:pPr>
            <w:r>
              <w:rPr>
                <w:rFonts w:hint="eastAsia" w:ascii="宋体" w:hAnsi="宋体" w:cs="宋体"/>
                <w:bCs/>
                <w:sz w:val="20"/>
              </w:rPr>
              <w:t>评估值</w:t>
            </w:r>
          </w:p>
        </w:tc>
        <w:tc>
          <w:tcPr>
            <w:tcW w:w="1230" w:type="dxa"/>
            <w:noWrap w:val="0"/>
            <w:vAlign w:val="center"/>
          </w:tcPr>
          <w:p>
            <w:pPr>
              <w:jc w:val="center"/>
              <w:rPr>
                <w:rFonts w:ascii="宋体" w:hAnsi="宋体" w:cs="宋体"/>
                <w:bCs/>
                <w:sz w:val="20"/>
              </w:rPr>
            </w:pPr>
            <w:r>
              <w:rPr>
                <w:rFonts w:hint="eastAsia" w:ascii="宋体" w:hAnsi="宋体" w:cs="宋体"/>
                <w:bCs/>
                <w:sz w:val="20"/>
              </w:rPr>
              <w:t>增值额</w:t>
            </w:r>
          </w:p>
        </w:tc>
        <w:tc>
          <w:tcPr>
            <w:tcW w:w="1386" w:type="dxa"/>
            <w:noWrap w:val="0"/>
            <w:vAlign w:val="center"/>
          </w:tcPr>
          <w:p>
            <w:pPr>
              <w:jc w:val="center"/>
              <w:rPr>
                <w:rFonts w:ascii="宋体" w:hAnsi="宋体" w:cs="宋体"/>
                <w:bCs/>
                <w:sz w:val="20"/>
              </w:rPr>
            </w:pPr>
            <w:r>
              <w:rPr>
                <w:rFonts w:hint="eastAsia" w:ascii="宋体" w:hAnsi="宋体" w:cs="宋体"/>
                <w:bCs/>
                <w:sz w:val="20"/>
              </w:rPr>
              <w:t>增值率（%）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ascii="宋体" w:hAnsi="宋体" w:cs="宋体"/>
                <w:bCs/>
                <w:sz w:val="20"/>
              </w:rPr>
            </w:pPr>
            <w:r>
              <w:rPr>
                <w:rFonts w:hint="eastAsia" w:ascii="宋体" w:hAnsi="宋体" w:cs="宋体"/>
                <w:bCs/>
                <w:sz w:val="20"/>
              </w:rPr>
              <w:t>资产总额</w:t>
            </w:r>
          </w:p>
        </w:tc>
        <w:tc>
          <w:tcPr>
            <w:tcW w:w="1210" w:type="dxa"/>
            <w:noWrap w:val="0"/>
            <w:vAlign w:val="center"/>
          </w:tcPr>
          <w:p>
            <w:pPr>
              <w:widowControl/>
              <w:jc w:val="center"/>
              <w:rPr>
                <w:rFonts w:ascii="宋体" w:hAnsi="宋体" w:cs="宋体"/>
                <w:bCs/>
                <w:sz w:val="20"/>
              </w:rPr>
            </w:pPr>
            <w:r>
              <w:t>138.71</w:t>
            </w:r>
          </w:p>
        </w:tc>
        <w:tc>
          <w:tcPr>
            <w:tcW w:w="1260" w:type="dxa"/>
            <w:noWrap w:val="0"/>
            <w:vAlign w:val="center"/>
          </w:tcPr>
          <w:p>
            <w:pPr>
              <w:widowControl/>
              <w:jc w:val="center"/>
              <w:rPr>
                <w:rFonts w:ascii="宋体" w:hAnsi="宋体" w:cs="宋体"/>
                <w:bCs/>
                <w:sz w:val="20"/>
              </w:rPr>
            </w:pPr>
            <w:r>
              <w:t>436.65</w:t>
            </w:r>
          </w:p>
        </w:tc>
        <w:tc>
          <w:tcPr>
            <w:tcW w:w="1230" w:type="dxa"/>
            <w:noWrap w:val="0"/>
            <w:vAlign w:val="center"/>
          </w:tcPr>
          <w:p>
            <w:pPr>
              <w:widowControl/>
              <w:jc w:val="left"/>
              <w:rPr>
                <w:rFonts w:ascii="宋体" w:hAnsi="宋体" w:cs="宋体"/>
                <w:bCs/>
                <w:sz w:val="20"/>
              </w:rPr>
            </w:pPr>
            <w:r>
              <w:t>297.94</w:t>
            </w:r>
          </w:p>
        </w:tc>
        <w:tc>
          <w:tcPr>
            <w:tcW w:w="1386" w:type="dxa"/>
            <w:noWrap w:val="0"/>
            <w:vAlign w:val="center"/>
          </w:tcPr>
          <w:p>
            <w:pPr>
              <w:widowControl/>
              <w:jc w:val="center"/>
              <w:rPr>
                <w:rFonts w:ascii="宋体" w:hAnsi="宋体" w:cs="宋体"/>
                <w:bCs/>
                <w:sz w:val="20"/>
              </w:rPr>
            </w:pPr>
            <w:r>
              <w:t>214.79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ascii="宋体" w:hAnsi="宋体" w:cs="宋体"/>
                <w:bCs/>
                <w:sz w:val="20"/>
              </w:rPr>
            </w:pPr>
            <w:r>
              <w:rPr>
                <w:rFonts w:hint="eastAsia" w:ascii="宋体" w:hAnsi="宋体" w:cs="宋体"/>
                <w:bCs/>
                <w:sz w:val="20"/>
              </w:rPr>
              <w:t>负债总额</w:t>
            </w:r>
          </w:p>
        </w:tc>
        <w:tc>
          <w:tcPr>
            <w:tcW w:w="1210" w:type="dxa"/>
            <w:noWrap w:val="0"/>
            <w:vAlign w:val="center"/>
          </w:tcPr>
          <w:p>
            <w:pPr>
              <w:widowControl/>
              <w:jc w:val="center"/>
              <w:rPr>
                <w:rFonts w:hint="eastAsia" w:ascii="宋体" w:hAnsi="宋体" w:eastAsia="宋体" w:cs="宋体"/>
                <w:bCs/>
                <w:sz w:val="20"/>
                <w:lang w:val="en-US" w:eastAsia="zh-CN"/>
              </w:rPr>
            </w:pPr>
            <w:r>
              <w:rPr>
                <w:rFonts w:hint="eastAsia" w:ascii="宋体" w:hAnsi="宋体" w:cs="宋体"/>
                <w:bCs/>
                <w:sz w:val="20"/>
                <w:lang w:val="en-US" w:eastAsia="zh-CN"/>
              </w:rPr>
              <w:t>-</w:t>
            </w:r>
          </w:p>
        </w:tc>
        <w:tc>
          <w:tcPr>
            <w:tcW w:w="1260" w:type="dxa"/>
            <w:noWrap w:val="0"/>
            <w:vAlign w:val="center"/>
          </w:tcPr>
          <w:p>
            <w:pPr>
              <w:widowControl/>
              <w:jc w:val="center"/>
              <w:rPr>
                <w:rFonts w:hint="eastAsia" w:ascii="宋体" w:hAnsi="宋体" w:eastAsia="宋体" w:cs="宋体"/>
                <w:bCs/>
                <w:sz w:val="20"/>
                <w:lang w:val="en-US" w:eastAsia="zh-CN"/>
              </w:rPr>
            </w:pPr>
            <w:r>
              <w:rPr>
                <w:rFonts w:hint="eastAsia" w:ascii="宋体" w:hAnsi="宋体" w:cs="宋体"/>
                <w:bCs/>
                <w:sz w:val="20"/>
                <w:lang w:val="en-US" w:eastAsia="zh-CN"/>
              </w:rPr>
              <w:t>-</w:t>
            </w:r>
          </w:p>
        </w:tc>
        <w:tc>
          <w:tcPr>
            <w:tcW w:w="1230" w:type="dxa"/>
            <w:noWrap w:val="0"/>
            <w:vAlign w:val="center"/>
          </w:tcPr>
          <w:p>
            <w:pPr>
              <w:jc w:val="center"/>
              <w:rPr>
                <w:rFonts w:hint="eastAsia" w:ascii="宋体" w:hAnsi="宋体" w:eastAsia="宋体" w:cs="宋体"/>
                <w:bCs/>
                <w:sz w:val="20"/>
                <w:lang w:val="en-US" w:eastAsia="zh-CN"/>
              </w:rPr>
            </w:pPr>
            <w:r>
              <w:rPr>
                <w:rFonts w:hint="eastAsia" w:ascii="宋体" w:hAnsi="宋体" w:cs="宋体"/>
                <w:bCs/>
                <w:sz w:val="20"/>
                <w:lang w:val="en-US" w:eastAsia="zh-CN"/>
              </w:rPr>
              <w:t>-</w:t>
            </w:r>
          </w:p>
        </w:tc>
        <w:tc>
          <w:tcPr>
            <w:tcW w:w="1386" w:type="dxa"/>
            <w:noWrap w:val="0"/>
            <w:vAlign w:val="center"/>
          </w:tcPr>
          <w:p>
            <w:pPr>
              <w:jc w:val="center"/>
              <w:rPr>
                <w:rFonts w:hint="eastAsia" w:ascii="宋体" w:hAnsi="宋体" w:eastAsia="宋体" w:cs="宋体"/>
                <w:bCs/>
                <w:sz w:val="20"/>
                <w:lang w:val="en-US" w:eastAsia="zh-CN"/>
              </w:rPr>
            </w:pPr>
            <w:r>
              <w:rPr>
                <w:rFonts w:hint="eastAsia" w:ascii="宋体" w:hAnsi="宋体" w:cs="宋体"/>
                <w:bCs/>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04" w:type="dxa"/>
            <w:vMerge w:val="continue"/>
            <w:noWrap w:val="0"/>
            <w:vAlign w:val="center"/>
          </w:tcPr>
          <w:p>
            <w:pPr>
              <w:jc w:val="center"/>
              <w:rPr>
                <w:rFonts w:ascii="宋体" w:hAnsi="宋体" w:cs="宋体"/>
                <w:bCs/>
                <w:sz w:val="20"/>
              </w:rPr>
            </w:pPr>
          </w:p>
        </w:tc>
        <w:tc>
          <w:tcPr>
            <w:tcW w:w="1635" w:type="dxa"/>
            <w:vMerge w:val="continue"/>
            <w:noWrap w:val="0"/>
            <w:vAlign w:val="center"/>
          </w:tcPr>
          <w:p>
            <w:pPr>
              <w:jc w:val="center"/>
              <w:rPr>
                <w:rFonts w:ascii="宋体" w:hAnsi="宋体" w:cs="宋体"/>
                <w:bCs/>
                <w:sz w:val="20"/>
              </w:rPr>
            </w:pPr>
          </w:p>
        </w:tc>
        <w:tc>
          <w:tcPr>
            <w:tcW w:w="1295" w:type="dxa"/>
            <w:noWrap w:val="0"/>
            <w:vAlign w:val="center"/>
          </w:tcPr>
          <w:p>
            <w:pPr>
              <w:jc w:val="center"/>
              <w:rPr>
                <w:rFonts w:ascii="宋体" w:hAnsi="宋体" w:cs="宋体"/>
                <w:bCs/>
                <w:sz w:val="20"/>
              </w:rPr>
            </w:pPr>
            <w:r>
              <w:rPr>
                <w:rFonts w:hint="eastAsia" w:ascii="宋体" w:hAnsi="宋体" w:cs="宋体"/>
                <w:bCs/>
                <w:sz w:val="20"/>
              </w:rPr>
              <w:t>净 资 产</w:t>
            </w:r>
          </w:p>
        </w:tc>
        <w:tc>
          <w:tcPr>
            <w:tcW w:w="1210" w:type="dxa"/>
            <w:noWrap w:val="0"/>
            <w:vAlign w:val="center"/>
          </w:tcPr>
          <w:p>
            <w:pPr>
              <w:widowControl/>
              <w:jc w:val="center"/>
              <w:rPr>
                <w:rFonts w:ascii="宋体" w:hAnsi="宋体" w:cs="宋体"/>
                <w:bCs/>
                <w:sz w:val="20"/>
              </w:rPr>
            </w:pPr>
            <w:r>
              <w:t>138.71</w:t>
            </w:r>
          </w:p>
        </w:tc>
        <w:tc>
          <w:tcPr>
            <w:tcW w:w="1260" w:type="dxa"/>
            <w:noWrap w:val="0"/>
            <w:vAlign w:val="center"/>
          </w:tcPr>
          <w:p>
            <w:pPr>
              <w:widowControl/>
              <w:jc w:val="center"/>
              <w:rPr>
                <w:rFonts w:ascii="宋体" w:hAnsi="宋体" w:cs="宋体"/>
                <w:bCs/>
                <w:sz w:val="20"/>
              </w:rPr>
            </w:pPr>
            <w:r>
              <w:t>436.65</w:t>
            </w:r>
          </w:p>
        </w:tc>
        <w:tc>
          <w:tcPr>
            <w:tcW w:w="1230" w:type="dxa"/>
            <w:noWrap w:val="0"/>
            <w:vAlign w:val="center"/>
          </w:tcPr>
          <w:p>
            <w:pPr>
              <w:widowControl/>
              <w:jc w:val="left"/>
              <w:rPr>
                <w:rFonts w:ascii="宋体" w:hAnsi="宋体" w:cs="宋体"/>
                <w:bCs/>
                <w:sz w:val="20"/>
              </w:rPr>
            </w:pPr>
            <w:r>
              <w:t>297.94</w:t>
            </w:r>
          </w:p>
        </w:tc>
        <w:tc>
          <w:tcPr>
            <w:tcW w:w="1386" w:type="dxa"/>
            <w:noWrap w:val="0"/>
            <w:vAlign w:val="center"/>
          </w:tcPr>
          <w:p>
            <w:pPr>
              <w:widowControl/>
              <w:jc w:val="center"/>
              <w:rPr>
                <w:rFonts w:ascii="宋体" w:hAnsi="宋体" w:cs="宋体"/>
                <w:bCs/>
                <w:sz w:val="20"/>
              </w:rPr>
            </w:pPr>
            <w:r>
              <w:t>214.79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04" w:type="dxa"/>
            <w:noWrap w:val="0"/>
            <w:vAlign w:val="center"/>
          </w:tcPr>
          <w:p>
            <w:pPr>
              <w:jc w:val="center"/>
              <w:rPr>
                <w:rFonts w:ascii="宋体" w:hAnsi="宋体" w:cs="宋体"/>
                <w:bCs/>
                <w:sz w:val="20"/>
              </w:rPr>
            </w:pPr>
            <w:r>
              <w:rPr>
                <w:rFonts w:hint="eastAsia" w:ascii="宋体" w:hAnsi="宋体" w:cs="宋体"/>
                <w:bCs/>
                <w:sz w:val="20"/>
              </w:rPr>
              <w:t>7</w:t>
            </w:r>
          </w:p>
        </w:tc>
        <w:tc>
          <w:tcPr>
            <w:tcW w:w="1635" w:type="dxa"/>
            <w:noWrap w:val="0"/>
            <w:vAlign w:val="center"/>
          </w:tcPr>
          <w:p>
            <w:pPr>
              <w:jc w:val="center"/>
              <w:rPr>
                <w:rFonts w:ascii="宋体" w:hAnsi="宋体" w:cs="宋体"/>
                <w:bCs/>
                <w:sz w:val="20"/>
              </w:rPr>
            </w:pPr>
            <w:r>
              <w:rPr>
                <w:rFonts w:hint="eastAsia" w:ascii="宋体" w:hAnsi="宋体" w:cs="宋体"/>
                <w:bCs/>
                <w:sz w:val="20"/>
              </w:rPr>
              <w:t>评估资料查阅</w:t>
            </w:r>
          </w:p>
          <w:p>
            <w:pPr>
              <w:jc w:val="center"/>
              <w:rPr>
                <w:rFonts w:ascii="宋体" w:hAnsi="宋体" w:cs="宋体"/>
                <w:bCs/>
                <w:sz w:val="20"/>
              </w:rPr>
            </w:pPr>
            <w:r>
              <w:rPr>
                <w:rFonts w:hint="eastAsia" w:ascii="宋体" w:hAnsi="宋体" w:cs="宋体"/>
                <w:bCs/>
                <w:sz w:val="20"/>
              </w:rPr>
              <w:t>方式</w:t>
            </w:r>
          </w:p>
        </w:tc>
        <w:tc>
          <w:tcPr>
            <w:tcW w:w="6381" w:type="dxa"/>
            <w:gridSpan w:val="5"/>
            <w:noWrap w:val="0"/>
            <w:vAlign w:val="center"/>
          </w:tcPr>
          <w:p>
            <w:pPr>
              <w:jc w:val="left"/>
              <w:rPr>
                <w:rFonts w:ascii="宋体" w:hAnsi="宋体" w:cs="宋体"/>
                <w:bCs/>
                <w:sz w:val="20"/>
              </w:rPr>
            </w:pPr>
            <w:r>
              <w:rPr>
                <w:rFonts w:hint="eastAsia" w:ascii="宋体" w:hAnsi="宋体" w:cs="宋体"/>
                <w:bCs/>
                <w:sz w:val="20"/>
              </w:rPr>
              <w:t>评估批复、比选评估机构方案、评估报告初稿及审核意见等纸质及电子资料在资产财务部资产管理处。</w:t>
            </w:r>
          </w:p>
        </w:tc>
      </w:tr>
    </w:tbl>
    <w:p>
      <w:r>
        <w:rPr>
          <w:rFonts w:hint="eastAsia" w:ascii="宋体" w:hAnsi="宋体" w:cs="宋体"/>
          <w:bCs/>
          <w:sz w:val="20"/>
        </w:rPr>
        <w:t>接受反馈意见部门：资产财务部          联系人：夏杰          联系方式：13641397643</w:t>
      </w:r>
    </w:p>
    <w:p>
      <w:pPr>
        <w:rPr>
          <w:rFonts w:hint="eastAsia" w:ascii="宋体" w:hAnsi="宋体" w:cs="宋体"/>
          <w:bCs/>
          <w:sz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C3519"/>
    <w:rsid w:val="2D6C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宣传处</dc:creator>
  <cp:lastModifiedBy>宣传处</cp:lastModifiedBy>
  <dcterms:modified xsi:type="dcterms:W3CDTF">2021-03-22T06:09:09Z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3A5C89204D3F4FEE8FA764FF9B086B1A</vt:lpwstr>
  </property>
</Properties>
</file>