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评估项目：中煤航测遥感集团有限公司拟以设备出资项目评估</w:t>
      </w:r>
    </w:p>
    <w:p>
      <w:pPr>
        <w:rPr>
          <w:rFonts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6</w:t>
      </w:r>
      <w:r>
        <w:rPr>
          <w:rFonts w:hint="eastAsia" w:ascii="宋体" w:hAnsi="宋体" w:cs="宋体"/>
          <w:bCs/>
          <w:sz w:val="20"/>
        </w:rPr>
        <w:t>月</w:t>
      </w:r>
      <w:r>
        <w:rPr>
          <w:rFonts w:hint="eastAsia" w:ascii="宋体" w:hAnsi="宋体" w:cs="宋体"/>
          <w:bCs/>
          <w:sz w:val="20"/>
          <w:lang w:val="en-US" w:eastAsia="zh-CN"/>
        </w:rPr>
        <w:t>3</w:t>
      </w:r>
      <w:r>
        <w:rPr>
          <w:rFonts w:hint="eastAsia" w:ascii="宋体" w:hAnsi="宋体" w:cs="宋体"/>
          <w:bCs/>
          <w:sz w:val="20"/>
        </w:rPr>
        <w:t>日至20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6</w:t>
      </w:r>
      <w:r>
        <w:rPr>
          <w:rFonts w:hint="eastAsia" w:ascii="宋体" w:hAnsi="宋体" w:cs="宋体"/>
          <w:bCs/>
          <w:sz w:val="20"/>
        </w:rPr>
        <w:t>月</w:t>
      </w:r>
      <w:r>
        <w:rPr>
          <w:rFonts w:hint="eastAsia" w:ascii="宋体" w:hAnsi="宋体" w:cs="宋体"/>
          <w:bCs/>
          <w:sz w:val="20"/>
          <w:lang w:val="en-US" w:eastAsia="zh-CN"/>
        </w:rPr>
        <w:t>9</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67"/>
        <w:gridCol w:w="1295"/>
        <w:gridCol w:w="1210"/>
        <w:gridCol w:w="1460"/>
        <w:gridCol w:w="114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2" w:type="dxa"/>
            <w:noWrap w:val="0"/>
            <w:vAlign w:val="center"/>
          </w:tcPr>
          <w:p>
            <w:pPr>
              <w:jc w:val="center"/>
              <w:rPr>
                <w:rFonts w:ascii="宋体" w:hAnsi="宋体" w:cs="宋体"/>
                <w:bCs/>
                <w:sz w:val="20"/>
              </w:rPr>
            </w:pPr>
            <w:r>
              <w:rPr>
                <w:rFonts w:hint="eastAsia" w:ascii="宋体" w:hAnsi="宋体" w:cs="宋体"/>
                <w:bCs/>
                <w:sz w:val="20"/>
              </w:rPr>
              <w:t>序号</w:t>
            </w:r>
          </w:p>
        </w:tc>
        <w:tc>
          <w:tcPr>
            <w:tcW w:w="1467"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2" w:type="dxa"/>
            <w:noWrap w:val="0"/>
            <w:vAlign w:val="center"/>
          </w:tcPr>
          <w:p>
            <w:pPr>
              <w:jc w:val="center"/>
              <w:rPr>
                <w:rFonts w:ascii="宋体" w:hAnsi="宋体" w:cs="宋体"/>
                <w:bCs/>
                <w:sz w:val="20"/>
              </w:rPr>
            </w:pPr>
            <w:r>
              <w:rPr>
                <w:rFonts w:hint="eastAsia" w:ascii="宋体" w:hAnsi="宋体" w:cs="宋体"/>
                <w:bCs/>
                <w:sz w:val="20"/>
              </w:rPr>
              <w:t>1</w:t>
            </w:r>
          </w:p>
        </w:tc>
        <w:tc>
          <w:tcPr>
            <w:tcW w:w="1467"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ascii="宋体" w:hAnsi="宋体" w:cs="宋体"/>
                <w:bCs/>
                <w:sz w:val="20"/>
              </w:rPr>
            </w:pPr>
            <w:r>
              <w:rPr>
                <w:rFonts w:hint="eastAsia" w:ascii="宋体" w:hAnsi="宋体" w:cs="宋体"/>
                <w:bCs/>
                <w:sz w:val="20"/>
              </w:rPr>
              <w:t>《</w:t>
            </w:r>
            <w:r>
              <w:rPr>
                <w:rFonts w:hint="eastAsia" w:ascii="宋体" w:hAnsi="宋体" w:cs="宋体"/>
                <w:bCs/>
                <w:sz w:val="20"/>
                <w:lang w:val="en-US" w:eastAsia="zh-CN"/>
              </w:rPr>
              <w:t>中国煤炭地质总局航测遥感局党委会议纪要</w:t>
            </w:r>
            <w:r>
              <w:rPr>
                <w:rFonts w:hint="eastAsia" w:ascii="宋体" w:hAnsi="宋体" w:cs="宋体"/>
                <w:bCs/>
                <w:sz w:val="20"/>
              </w:rPr>
              <w:t>》(</w:t>
            </w:r>
            <w:r>
              <w:rPr>
                <w:rFonts w:hint="eastAsia" w:ascii="宋体" w:hAnsi="宋体" w:cs="宋体"/>
                <w:bCs/>
                <w:sz w:val="20"/>
                <w:lang w:val="en-US" w:eastAsia="zh-CN"/>
              </w:rPr>
              <w:t>2020年第十七次党委会会议纪要</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2" w:type="dxa"/>
            <w:noWrap w:val="0"/>
            <w:vAlign w:val="center"/>
          </w:tcPr>
          <w:p>
            <w:pPr>
              <w:jc w:val="center"/>
              <w:rPr>
                <w:rFonts w:ascii="宋体" w:hAnsi="宋体" w:cs="宋体"/>
                <w:bCs/>
                <w:sz w:val="20"/>
              </w:rPr>
            </w:pPr>
            <w:r>
              <w:rPr>
                <w:rFonts w:hint="eastAsia" w:ascii="宋体" w:hAnsi="宋体" w:cs="宋体"/>
                <w:bCs/>
                <w:sz w:val="20"/>
              </w:rPr>
              <w:t>2</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rPr>
              <w:t>中煤航测遥感集团有限公司资产财务部</w:t>
            </w:r>
            <w:r>
              <w:rPr>
                <w:rFonts w:hint="eastAsia" w:ascii="宋体" w:hAnsi="宋体" w:cs="宋体"/>
                <w:bCs/>
                <w:sz w:val="20"/>
                <w:lang w:val="en-US" w:eastAsia="zh-CN"/>
              </w:rPr>
              <w:t>会同规划发展部</w:t>
            </w:r>
            <w:r>
              <w:rPr>
                <w:rFonts w:hint="eastAsia" w:ascii="宋体" w:hAnsi="宋体" w:cs="宋体"/>
                <w:bCs/>
                <w:sz w:val="20"/>
                <w:lang w:eastAsia="zh-CN"/>
              </w:rPr>
              <w:t>按照询价比选的方式，从</w:t>
            </w:r>
            <w:r>
              <w:rPr>
                <w:rFonts w:hint="eastAsia" w:ascii="宋体" w:hAnsi="宋体" w:cs="宋体"/>
                <w:bCs/>
                <w:sz w:val="20"/>
              </w:rPr>
              <w:t>总局评估机构备选库中</w:t>
            </w:r>
            <w:r>
              <w:rPr>
                <w:rFonts w:hint="eastAsia" w:ascii="宋体" w:hAnsi="宋体" w:cs="宋体"/>
                <w:bCs/>
                <w:sz w:val="20"/>
                <w:lang w:eastAsia="zh-CN"/>
              </w:rPr>
              <w:t>择优选择</w:t>
            </w:r>
            <w:r>
              <w:rPr>
                <w:rFonts w:hint="eastAsia" w:ascii="宋体" w:hAnsi="宋体" w:cs="宋体"/>
                <w:bCs/>
                <w:sz w:val="20"/>
              </w:rPr>
              <w:t>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2"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rPr>
                <w:rFonts w:hint="default" w:ascii="宋体" w:hAnsi="宋体" w:eastAsia="宋体" w:cs="宋体"/>
                <w:bCs/>
                <w:sz w:val="20"/>
                <w:lang w:val="en-US" w:eastAsia="zh-CN"/>
              </w:rPr>
            </w:pPr>
            <w:r>
              <w:rPr>
                <w:rFonts w:hint="eastAsia" w:ascii="宋体" w:hAnsi="宋体" w:cs="宋体"/>
                <w:bCs/>
                <w:sz w:val="20"/>
                <w:lang w:val="en-US" w:eastAsia="zh-CN"/>
              </w:rPr>
              <w:t>中联资产评估集团有限公司</w:t>
            </w:r>
            <w:r>
              <w:rPr>
                <w:rFonts w:hint="eastAsia" w:ascii="宋体" w:hAnsi="宋体" w:cs="宋体"/>
                <w:bCs/>
                <w:sz w:val="20"/>
              </w:rPr>
              <w:t>：</w:t>
            </w:r>
            <w:r>
              <w:rPr>
                <w:rFonts w:hint="eastAsia" w:ascii="宋体" w:hAnsi="宋体" w:cs="宋体"/>
                <w:bCs/>
                <w:sz w:val="20"/>
                <w:lang w:val="en-US" w:eastAsia="zh-CN"/>
              </w:rPr>
              <w:t>翟红梅 11090063</w:t>
            </w:r>
            <w:r>
              <w:rPr>
                <w:rFonts w:hint="eastAsia" w:ascii="宋体" w:hAnsi="宋体" w:cs="宋体"/>
                <w:bCs/>
                <w:sz w:val="20"/>
              </w:rPr>
              <w:t>；</w:t>
            </w:r>
            <w:r>
              <w:rPr>
                <w:rFonts w:hint="eastAsia" w:ascii="宋体" w:hAnsi="宋体" w:cs="宋体"/>
                <w:bCs/>
                <w:sz w:val="20"/>
                <w:lang w:val="en-US" w:eastAsia="zh-CN"/>
              </w:rPr>
              <w:t>张佳瑜 61180018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2" w:type="dxa"/>
            <w:noWrap w:val="0"/>
            <w:vAlign w:val="center"/>
          </w:tcPr>
          <w:p>
            <w:pPr>
              <w:jc w:val="center"/>
              <w:rPr>
                <w:rFonts w:ascii="宋体" w:hAnsi="宋体" w:cs="宋体"/>
                <w:bCs/>
                <w:sz w:val="20"/>
              </w:rPr>
            </w:pPr>
            <w:r>
              <w:rPr>
                <w:rFonts w:hint="eastAsia" w:ascii="宋体" w:hAnsi="宋体" w:cs="宋体"/>
                <w:bCs/>
                <w:sz w:val="20"/>
              </w:rPr>
              <w:t>4</w:t>
            </w:r>
          </w:p>
        </w:tc>
        <w:tc>
          <w:tcPr>
            <w:tcW w:w="1467"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中煤航测遥感集团有限公司选聘</w:t>
            </w:r>
            <w:r>
              <w:rPr>
                <w:rFonts w:hint="eastAsia" w:ascii="宋体" w:hAnsi="宋体" w:cs="宋体"/>
                <w:bCs/>
                <w:sz w:val="20"/>
                <w:lang w:val="en-US" w:eastAsia="zh-CN"/>
              </w:rPr>
              <w:t>中联资产评估集团有限公司</w:t>
            </w:r>
            <w:r>
              <w:rPr>
                <w:rFonts w:hint="eastAsia" w:ascii="宋体" w:hAnsi="宋体" w:cs="宋体"/>
                <w:bCs/>
                <w:sz w:val="20"/>
              </w:rPr>
              <w:t>对中煤航测遥感集团有限公司</w:t>
            </w:r>
            <w:r>
              <w:rPr>
                <w:rFonts w:hint="eastAsia" w:ascii="宋体" w:hAnsi="宋体" w:cs="宋体"/>
                <w:bCs/>
                <w:sz w:val="20"/>
                <w:lang w:val="en-US" w:eastAsia="zh-CN"/>
              </w:rPr>
              <w:t>拟出资的实物资产</w:t>
            </w:r>
            <w:r>
              <w:rPr>
                <w:rFonts w:hint="eastAsia" w:ascii="宋体" w:hAnsi="宋体" w:cs="宋体"/>
                <w:bCs/>
                <w:sz w:val="20"/>
              </w:rPr>
              <w:t>开展评估工作，</w:t>
            </w:r>
            <w:r>
              <w:rPr>
                <w:rFonts w:hint="eastAsia" w:ascii="宋体" w:hAnsi="宋体" w:cs="宋体"/>
                <w:bCs/>
                <w:sz w:val="20"/>
                <w:lang w:val="en-US" w:eastAsia="zh-CN"/>
              </w:rPr>
              <w:t>并由航测局和中国煤炭地质总局对评估报告完成逐级</w:t>
            </w:r>
            <w:r>
              <w:rPr>
                <w:rFonts w:hint="eastAsia" w:ascii="宋体" w:hAnsi="宋体" w:cs="宋体"/>
                <w:bCs/>
                <w:sz w:val="20"/>
              </w:rPr>
              <w:t>审核</w:t>
            </w:r>
            <w:r>
              <w:rPr>
                <w:rFonts w:hint="eastAsia" w:ascii="宋体" w:hAnsi="宋体" w:cs="宋体"/>
                <w:bCs/>
                <w:sz w:val="20"/>
                <w:lang w:eastAsia="zh-CN"/>
              </w:rPr>
              <w:t>工作</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672" w:type="dxa"/>
            <w:noWrap w:val="0"/>
            <w:vAlign w:val="center"/>
          </w:tcPr>
          <w:p>
            <w:pPr>
              <w:jc w:val="center"/>
              <w:rPr>
                <w:rFonts w:ascii="宋体" w:hAnsi="宋体" w:cs="宋体"/>
                <w:bCs/>
                <w:sz w:val="20"/>
              </w:rPr>
            </w:pPr>
            <w:r>
              <w:rPr>
                <w:rFonts w:hint="eastAsia" w:ascii="宋体" w:hAnsi="宋体" w:cs="宋体"/>
                <w:bCs/>
                <w:sz w:val="20"/>
              </w:rPr>
              <w:t>5</w:t>
            </w:r>
          </w:p>
        </w:tc>
        <w:tc>
          <w:tcPr>
            <w:tcW w:w="1467"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widowControl/>
              <w:jc w:val="left"/>
              <w:rPr>
                <w:rFonts w:hint="eastAsia" w:ascii="宋体" w:hAnsi="宋体" w:cs="宋体"/>
                <w:bCs/>
                <w:sz w:val="20"/>
              </w:rPr>
            </w:pPr>
            <w:r>
              <w:rPr>
                <w:rFonts w:hint="eastAsia" w:ascii="宋体" w:hAnsi="宋体" w:cs="宋体"/>
                <w:bCs/>
                <w:sz w:val="20"/>
              </w:rPr>
              <w:t>评估报告摘要</w:t>
            </w:r>
            <w:r>
              <w:rPr>
                <w:rFonts w:hint="eastAsia" w:ascii="宋体" w:hAnsi="宋体" w:cs="宋体"/>
                <w:bCs/>
                <w:sz w:val="20"/>
                <w:lang w:eastAsia="zh-CN"/>
              </w:rPr>
              <w:t>：</w:t>
            </w:r>
            <w:r>
              <w:rPr>
                <w:rFonts w:ascii="宋体" w:hAnsi="宋体" w:cs="宋体"/>
                <w:bCs/>
                <w:sz w:val="20"/>
              </w:rPr>
              <w:t>中联资产评估集团有限公司接受</w:t>
            </w:r>
            <w:r>
              <w:rPr>
                <w:rFonts w:hint="eastAsia" w:ascii="宋体" w:hAnsi="宋体" w:cs="宋体"/>
                <w:bCs/>
                <w:sz w:val="20"/>
              </w:rPr>
              <w:t>中煤航测遥感集团有限公司</w:t>
            </w:r>
            <w:r>
              <w:rPr>
                <w:rFonts w:ascii="宋体" w:hAnsi="宋体" w:cs="宋体"/>
                <w:bCs/>
                <w:sz w:val="20"/>
              </w:rPr>
              <w:t>的委托，就</w:t>
            </w:r>
            <w:r>
              <w:rPr>
                <w:rFonts w:hint="eastAsia" w:ascii="宋体" w:hAnsi="宋体" w:cs="宋体"/>
                <w:bCs/>
                <w:sz w:val="20"/>
              </w:rPr>
              <w:t>中煤航测遥感集团有限公司</w:t>
            </w:r>
            <w:r>
              <w:rPr>
                <w:rFonts w:ascii="宋体" w:hAnsi="宋体" w:cs="宋体"/>
                <w:bCs/>
                <w:sz w:val="20"/>
              </w:rPr>
              <w:t>拟以设备资产出资之经济行为</w:t>
            </w:r>
            <w:r>
              <w:rPr>
                <w:rFonts w:hint="eastAsia" w:ascii="宋体" w:hAnsi="宋体" w:cs="宋体"/>
                <w:bCs/>
                <w:sz w:val="20"/>
              </w:rPr>
              <w:t>，对</w:t>
            </w:r>
            <w:r>
              <w:rPr>
                <w:rFonts w:ascii="宋体" w:hAnsi="宋体" w:cs="宋体"/>
                <w:bCs/>
                <w:sz w:val="20"/>
              </w:rPr>
              <w:t>所涉及的</w:t>
            </w:r>
            <w:r>
              <w:rPr>
                <w:rFonts w:hint="eastAsia" w:ascii="宋体" w:hAnsi="宋体" w:cs="宋体"/>
                <w:bCs/>
                <w:sz w:val="20"/>
              </w:rPr>
              <w:t>实物资产</w:t>
            </w:r>
            <w:r>
              <w:rPr>
                <w:rFonts w:ascii="宋体" w:hAnsi="宋体" w:cs="宋体"/>
                <w:bCs/>
                <w:sz w:val="20"/>
              </w:rPr>
              <w:t>在评估基准日的</w:t>
            </w:r>
            <w:r>
              <w:rPr>
                <w:rFonts w:hint="eastAsia" w:ascii="宋体" w:hAnsi="宋体" w:cs="宋体"/>
                <w:bCs/>
                <w:sz w:val="20"/>
              </w:rPr>
              <w:t>市场</w:t>
            </w:r>
            <w:r>
              <w:rPr>
                <w:rFonts w:ascii="宋体" w:hAnsi="宋体" w:cs="宋体"/>
                <w:bCs/>
                <w:sz w:val="20"/>
              </w:rPr>
              <w:t>价值进行了评估。</w:t>
            </w:r>
            <w:r>
              <w:rPr>
                <w:rFonts w:hint="eastAsia" w:ascii="宋体" w:hAnsi="宋体" w:cs="宋体"/>
                <w:bCs/>
                <w:sz w:val="20"/>
                <w:lang w:val="en-US" w:eastAsia="zh-CN"/>
              </w:rPr>
              <w:t>评估基准日为2020年7月31日。</w:t>
            </w:r>
            <w:r>
              <w:rPr>
                <w:rFonts w:ascii="宋体" w:hAnsi="宋体" w:cs="宋体"/>
                <w:bCs/>
                <w:sz w:val="20"/>
              </w:rPr>
              <w:t>评估对象为</w:t>
            </w:r>
            <w:r>
              <w:rPr>
                <w:rFonts w:hint="eastAsia" w:ascii="宋体" w:hAnsi="宋体" w:cs="宋体"/>
                <w:bCs/>
                <w:sz w:val="20"/>
              </w:rPr>
              <w:t>中煤航测遥感集团有限公司拟出资的设备资产，</w:t>
            </w:r>
            <w:r>
              <w:rPr>
                <w:rFonts w:ascii="宋体" w:hAnsi="宋体" w:cs="宋体"/>
                <w:bCs/>
                <w:sz w:val="20"/>
              </w:rPr>
              <w:t>评估范围</w:t>
            </w:r>
            <w:r>
              <w:rPr>
                <w:rFonts w:hint="eastAsia" w:ascii="宋体" w:hAnsi="宋体" w:cs="宋体"/>
                <w:bCs/>
                <w:sz w:val="20"/>
              </w:rPr>
              <w:t>为机器设备和车辆。本次评估的价值类型为市场价值。本次评估以公开市场为前提，结合委估对象的实际情况，综合考虑各种影响因素，主要采用重置成本法进行评估。经实施清查核实、实地查勘、市场调查和询证、评定估算等评估程序，得出如下评估结论：本次评估的设备资产账面值为412.19万元，评估值为536.28万元，评估增值124.09万元，增值率30.11%，增值的原因主要为评估所参考的设备经济使用年限长于企业对设备资产的计提折旧年限，导致评估增值，本次评估结果为包含增值税价值。</w:t>
            </w:r>
          </w:p>
          <w:p>
            <w:pPr>
              <w:widowControl/>
              <w:jc w:val="left"/>
              <w:rPr>
                <w:rFonts w:ascii="宋体" w:hAnsi="宋体" w:cs="宋体"/>
                <w:bCs/>
                <w:sz w:val="20"/>
              </w:rPr>
            </w:pPr>
            <w:r>
              <w:rPr>
                <w:rFonts w:hint="eastAsia" w:ascii="宋体" w:hAnsi="宋体" w:cs="宋体"/>
                <w:bCs/>
                <w:sz w:val="20"/>
              </w:rPr>
              <w:t>特别事项说明</w:t>
            </w:r>
            <w:r>
              <w:rPr>
                <w:rFonts w:hint="eastAsia" w:ascii="宋体" w:hAnsi="宋体" w:cs="宋体"/>
                <w:bCs/>
                <w:sz w:val="20"/>
                <w:lang w:eastAsia="zh-CN"/>
              </w:rPr>
              <w:t>：</w:t>
            </w:r>
            <w:r>
              <w:rPr>
                <w:rFonts w:hint="eastAsia" w:ascii="宋体" w:hAnsi="宋体" w:cs="宋体"/>
                <w:bCs/>
                <w:sz w:val="20"/>
                <w:lang w:val="en-US" w:eastAsia="zh-CN"/>
              </w:rPr>
              <w:t>评估范围内的所有车辆资产，证载权利人均为中国煤炭地质总局航测遥感局，该部分资产为中国煤炭地质总局航测遥感局无偿划拨给中煤航测遥感集团有限公司，证载权利人未及时变更，经双方共同确认，该部分资产归中煤航测遥感集团有限公司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2"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467"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460" w:type="dxa"/>
            <w:noWrap w:val="0"/>
            <w:vAlign w:val="center"/>
          </w:tcPr>
          <w:p>
            <w:pPr>
              <w:jc w:val="center"/>
              <w:rPr>
                <w:rFonts w:hint="eastAsia" w:ascii="宋体" w:hAnsi="宋体" w:eastAsia="宋体" w:cs="宋体"/>
                <w:bCs/>
                <w:sz w:val="20"/>
                <w:lang w:eastAsia="zh-CN"/>
              </w:rPr>
            </w:pPr>
            <w:r>
              <w:rPr>
                <w:rFonts w:hint="eastAsia" w:ascii="宋体" w:hAnsi="宋体" w:cs="宋体"/>
                <w:bCs/>
                <w:sz w:val="20"/>
              </w:rPr>
              <w:t>评估值</w:t>
            </w:r>
            <w:r>
              <w:rPr>
                <w:rFonts w:hint="eastAsia" w:ascii="宋体" w:hAnsi="宋体" w:cs="宋体"/>
                <w:bCs/>
                <w:sz w:val="20"/>
                <w:lang w:eastAsia="zh-CN"/>
              </w:rPr>
              <w:t>（</w:t>
            </w:r>
            <w:r>
              <w:rPr>
                <w:rFonts w:hint="eastAsia" w:ascii="宋体" w:hAnsi="宋体" w:cs="宋体"/>
                <w:bCs/>
                <w:sz w:val="20"/>
                <w:lang w:val="en-US" w:eastAsia="zh-CN"/>
              </w:rPr>
              <w:t>含税</w:t>
            </w:r>
            <w:r>
              <w:rPr>
                <w:rFonts w:hint="eastAsia" w:ascii="宋体" w:hAnsi="宋体" w:cs="宋体"/>
                <w:bCs/>
                <w:sz w:val="20"/>
                <w:lang w:eastAsia="zh-CN"/>
              </w:rPr>
              <w:t>）</w:t>
            </w:r>
          </w:p>
        </w:tc>
        <w:tc>
          <w:tcPr>
            <w:tcW w:w="1146" w:type="dxa"/>
            <w:noWrap w:val="0"/>
            <w:vAlign w:val="center"/>
          </w:tcPr>
          <w:p>
            <w:pPr>
              <w:jc w:val="center"/>
              <w:rPr>
                <w:rFonts w:ascii="宋体" w:hAnsi="宋体" w:cs="宋体"/>
                <w:bCs/>
                <w:sz w:val="20"/>
              </w:rPr>
            </w:pPr>
            <w:r>
              <w:rPr>
                <w:rFonts w:hint="eastAsia" w:ascii="宋体" w:hAnsi="宋体" w:cs="宋体"/>
                <w:bCs/>
                <w:sz w:val="20"/>
              </w:rPr>
              <w:t>增值额</w:t>
            </w:r>
          </w:p>
        </w:tc>
        <w:tc>
          <w:tcPr>
            <w:tcW w:w="1270"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ascii="宋体" w:hAnsi="宋体" w:cs="宋体"/>
                <w:bCs/>
                <w:sz w:val="20"/>
                <w:lang w:val="en-US" w:eastAsia="zh-CN"/>
              </w:rPr>
              <w:t>流动</w:t>
            </w:r>
            <w:r>
              <w:rPr>
                <w:rFonts w:hint="eastAsia" w:ascii="宋体" w:hAnsi="宋体" w:cs="宋体"/>
                <w:bCs/>
                <w:sz w:val="20"/>
              </w:rPr>
              <w:t>资产</w:t>
            </w:r>
          </w:p>
        </w:tc>
        <w:tc>
          <w:tcPr>
            <w:tcW w:w="1210" w:type="dxa"/>
            <w:noWrap w:val="0"/>
            <w:vAlign w:val="center"/>
          </w:tcPr>
          <w:p>
            <w:pPr>
              <w:widowControl/>
              <w:jc w:val="center"/>
              <w:rPr>
                <w:rFonts w:hint="default" w:ascii="宋体" w:hAnsi="宋体" w:cs="宋体"/>
                <w:bCs/>
                <w:sz w:val="20"/>
                <w:lang w:val="en-US" w:eastAsia="zh-CN"/>
              </w:rPr>
            </w:pPr>
            <w:r>
              <w:rPr>
                <w:rFonts w:hint="eastAsia" w:ascii="宋体" w:hAnsi="宋体" w:cs="宋体"/>
                <w:bCs/>
                <w:sz w:val="20"/>
                <w:lang w:val="en-US" w:eastAsia="zh-CN"/>
              </w:rPr>
              <w:t>-</w:t>
            </w:r>
          </w:p>
        </w:tc>
        <w:tc>
          <w:tcPr>
            <w:tcW w:w="1460" w:type="dxa"/>
            <w:noWrap w:val="0"/>
            <w:vAlign w:val="center"/>
          </w:tcPr>
          <w:p>
            <w:pPr>
              <w:widowControl/>
              <w:jc w:val="center"/>
              <w:rPr>
                <w:rFonts w:hint="default" w:ascii="宋体" w:hAnsi="宋体" w:cs="宋体"/>
                <w:bCs/>
                <w:sz w:val="20"/>
                <w:lang w:val="en-US" w:eastAsia="zh-CN"/>
              </w:rPr>
            </w:pPr>
            <w:r>
              <w:rPr>
                <w:rFonts w:hint="eastAsia" w:ascii="宋体" w:hAnsi="宋体" w:cs="宋体"/>
                <w:bCs/>
                <w:sz w:val="20"/>
                <w:lang w:val="en-US" w:eastAsia="zh-CN"/>
              </w:rPr>
              <w:t>-</w:t>
            </w:r>
          </w:p>
        </w:tc>
        <w:tc>
          <w:tcPr>
            <w:tcW w:w="1146" w:type="dxa"/>
            <w:noWrap w:val="0"/>
            <w:vAlign w:val="center"/>
          </w:tcPr>
          <w:p>
            <w:pPr>
              <w:widowControl/>
              <w:jc w:val="center"/>
              <w:rPr>
                <w:rFonts w:hint="default" w:ascii="宋体" w:hAnsi="宋体" w:cs="宋体"/>
                <w:bCs/>
                <w:sz w:val="20"/>
                <w:lang w:val="en-US" w:eastAsia="zh-CN"/>
              </w:rPr>
            </w:pPr>
            <w:r>
              <w:rPr>
                <w:rFonts w:hint="eastAsia" w:ascii="宋体" w:hAnsi="宋体" w:cs="宋体"/>
                <w:bCs/>
                <w:sz w:val="20"/>
                <w:lang w:val="en-US" w:eastAsia="zh-CN"/>
              </w:rPr>
              <w:t>-</w:t>
            </w:r>
          </w:p>
        </w:tc>
        <w:tc>
          <w:tcPr>
            <w:tcW w:w="1270" w:type="dxa"/>
            <w:noWrap w:val="0"/>
            <w:vAlign w:val="center"/>
          </w:tcPr>
          <w:p>
            <w:pPr>
              <w:widowControl/>
              <w:jc w:val="center"/>
              <w:rPr>
                <w:rFonts w:hint="default" w:ascii="宋体" w:hAnsi="宋体" w:cs="宋体"/>
                <w:bCs/>
                <w:sz w:val="20"/>
                <w:lang w:val="en-US" w:eastAsia="zh-CN"/>
              </w:rPr>
            </w:pPr>
            <w:r>
              <w:rPr>
                <w:rFonts w:hint="eastAsia" w:ascii="宋体" w:hAnsi="宋体" w:cs="宋体"/>
                <w:bCs/>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default" w:ascii="宋体" w:hAnsi="宋体" w:eastAsia="宋体" w:cs="宋体"/>
                <w:bCs/>
                <w:sz w:val="20"/>
                <w:lang w:val="en-US" w:eastAsia="zh-CN"/>
              </w:rPr>
            </w:pPr>
            <w:r>
              <w:rPr>
                <w:rFonts w:hint="eastAsia" w:ascii="宋体" w:hAnsi="宋体" w:cs="宋体"/>
                <w:bCs/>
                <w:sz w:val="20"/>
                <w:lang w:val="en-US" w:eastAsia="zh-CN"/>
              </w:rPr>
              <w:t>非流动资产</w:t>
            </w:r>
          </w:p>
        </w:tc>
        <w:tc>
          <w:tcPr>
            <w:tcW w:w="1210" w:type="dxa"/>
            <w:noWrap w:val="0"/>
            <w:vAlign w:val="center"/>
          </w:tcPr>
          <w:p>
            <w:pPr>
              <w:widowControl/>
              <w:jc w:val="center"/>
              <w:rPr>
                <w:rFonts w:hint="default" w:ascii="宋体" w:hAnsi="宋体" w:eastAsia="宋体" w:cs="宋体"/>
                <w:bCs/>
                <w:sz w:val="20"/>
                <w:lang w:val="en-US" w:eastAsia="zh-CN"/>
              </w:rPr>
            </w:pPr>
            <w:r>
              <w:rPr>
                <w:rFonts w:hint="eastAsia" w:ascii="宋体" w:hAnsi="宋体" w:cs="宋体"/>
                <w:bCs/>
                <w:sz w:val="20"/>
                <w:lang w:val="en-US" w:eastAsia="zh-CN"/>
              </w:rPr>
              <w:t>412.19</w:t>
            </w:r>
          </w:p>
        </w:tc>
        <w:tc>
          <w:tcPr>
            <w:tcW w:w="1460" w:type="dxa"/>
            <w:noWrap w:val="0"/>
            <w:vAlign w:val="center"/>
          </w:tcPr>
          <w:p>
            <w:pPr>
              <w:widowControl/>
              <w:jc w:val="center"/>
              <w:rPr>
                <w:rFonts w:hint="default" w:ascii="宋体" w:hAnsi="宋体" w:eastAsia="宋体" w:cs="宋体"/>
                <w:bCs/>
                <w:sz w:val="20"/>
                <w:lang w:val="en-US" w:eastAsia="zh-CN"/>
              </w:rPr>
            </w:pPr>
            <w:r>
              <w:rPr>
                <w:rFonts w:hint="eastAsia" w:ascii="宋体" w:hAnsi="宋体" w:cs="宋体"/>
                <w:bCs/>
                <w:sz w:val="20"/>
                <w:lang w:val="en-US" w:eastAsia="zh-CN"/>
              </w:rPr>
              <w:t>536.28</w:t>
            </w:r>
          </w:p>
        </w:tc>
        <w:tc>
          <w:tcPr>
            <w:tcW w:w="1146" w:type="dxa"/>
            <w:noWrap w:val="0"/>
            <w:vAlign w:val="center"/>
          </w:tcPr>
          <w:p>
            <w:pPr>
              <w:jc w:val="center"/>
              <w:rPr>
                <w:rFonts w:hint="default" w:ascii="宋体" w:hAnsi="宋体" w:eastAsia="宋体" w:cs="宋体"/>
                <w:bCs/>
                <w:sz w:val="20"/>
                <w:lang w:val="en-US" w:eastAsia="zh-CN"/>
              </w:rPr>
            </w:pPr>
            <w:r>
              <w:rPr>
                <w:rFonts w:hint="eastAsia" w:ascii="宋体" w:hAnsi="宋体" w:cs="宋体"/>
                <w:bCs/>
                <w:sz w:val="20"/>
                <w:lang w:val="en-US" w:eastAsia="zh-CN"/>
              </w:rPr>
              <w:t>124.09</w:t>
            </w:r>
          </w:p>
        </w:tc>
        <w:tc>
          <w:tcPr>
            <w:tcW w:w="1270" w:type="dxa"/>
            <w:noWrap w:val="0"/>
            <w:vAlign w:val="center"/>
          </w:tcPr>
          <w:p>
            <w:pPr>
              <w:jc w:val="center"/>
              <w:rPr>
                <w:rFonts w:hint="default" w:ascii="宋体" w:hAnsi="宋体" w:eastAsia="宋体" w:cs="宋体"/>
                <w:bCs/>
                <w:sz w:val="20"/>
                <w:lang w:val="en-US" w:eastAsia="zh-CN"/>
              </w:rPr>
            </w:pPr>
            <w:r>
              <w:rPr>
                <w:rFonts w:hint="eastAsia" w:ascii="宋体" w:hAnsi="宋体" w:cs="宋体"/>
                <w:bCs/>
                <w:sz w:val="20"/>
                <w:lang w:val="en-US" w:eastAsia="zh-CN"/>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default" w:ascii="宋体" w:hAnsi="宋体" w:cs="宋体"/>
                <w:bCs/>
                <w:sz w:val="20"/>
                <w:lang w:val="en-US" w:eastAsia="zh-CN"/>
              </w:rPr>
            </w:pPr>
            <w:r>
              <w:rPr>
                <w:rFonts w:hint="eastAsia" w:ascii="宋体" w:hAnsi="宋体" w:cs="宋体"/>
                <w:bCs/>
                <w:sz w:val="20"/>
                <w:lang w:val="en-US" w:eastAsia="zh-CN"/>
              </w:rPr>
              <w:t>固定资产</w:t>
            </w:r>
          </w:p>
        </w:tc>
        <w:tc>
          <w:tcPr>
            <w:tcW w:w="1210" w:type="dxa"/>
            <w:noWrap w:val="0"/>
            <w:vAlign w:val="center"/>
          </w:tcPr>
          <w:p>
            <w:pPr>
              <w:widowControl/>
              <w:jc w:val="center"/>
              <w:rPr>
                <w:rFonts w:hint="eastAsia" w:ascii="宋体" w:hAnsi="宋体" w:cs="宋体"/>
                <w:bCs/>
                <w:sz w:val="20"/>
                <w:lang w:val="en-US" w:eastAsia="zh-CN"/>
              </w:rPr>
            </w:pPr>
            <w:r>
              <w:rPr>
                <w:rFonts w:hint="eastAsia" w:ascii="宋体" w:hAnsi="宋体" w:cs="宋体"/>
                <w:bCs/>
                <w:sz w:val="20"/>
                <w:lang w:val="en-US" w:eastAsia="zh-CN"/>
              </w:rPr>
              <w:t>412.19</w:t>
            </w:r>
          </w:p>
        </w:tc>
        <w:tc>
          <w:tcPr>
            <w:tcW w:w="1460" w:type="dxa"/>
            <w:noWrap w:val="0"/>
            <w:vAlign w:val="center"/>
          </w:tcPr>
          <w:p>
            <w:pPr>
              <w:widowControl/>
              <w:jc w:val="center"/>
              <w:rPr>
                <w:rFonts w:hint="eastAsia" w:ascii="宋体" w:hAnsi="宋体" w:cs="宋体"/>
                <w:bCs/>
                <w:sz w:val="20"/>
                <w:lang w:val="en-US" w:eastAsia="zh-CN"/>
              </w:rPr>
            </w:pPr>
            <w:r>
              <w:rPr>
                <w:rFonts w:hint="eastAsia" w:ascii="宋体" w:hAnsi="宋体" w:cs="宋体"/>
                <w:bCs/>
                <w:sz w:val="20"/>
                <w:lang w:val="en-US" w:eastAsia="zh-CN"/>
              </w:rPr>
              <w:t>536.28</w:t>
            </w:r>
          </w:p>
        </w:tc>
        <w:tc>
          <w:tcPr>
            <w:tcW w:w="1146" w:type="dxa"/>
            <w:noWrap w:val="0"/>
            <w:vAlign w:val="center"/>
          </w:tcPr>
          <w:p>
            <w:pPr>
              <w:jc w:val="center"/>
              <w:rPr>
                <w:rFonts w:hint="eastAsia" w:ascii="宋体" w:hAnsi="宋体" w:cs="宋体"/>
                <w:bCs/>
                <w:sz w:val="20"/>
                <w:lang w:val="en-US" w:eastAsia="zh-CN"/>
              </w:rPr>
            </w:pPr>
            <w:r>
              <w:rPr>
                <w:rFonts w:hint="eastAsia" w:ascii="宋体" w:hAnsi="宋体" w:cs="宋体"/>
                <w:bCs/>
                <w:sz w:val="20"/>
                <w:lang w:val="en-US" w:eastAsia="zh-CN"/>
              </w:rPr>
              <w:t>124.09</w:t>
            </w:r>
          </w:p>
        </w:tc>
        <w:tc>
          <w:tcPr>
            <w:tcW w:w="1270" w:type="dxa"/>
            <w:noWrap w:val="0"/>
            <w:vAlign w:val="center"/>
          </w:tcPr>
          <w:p>
            <w:pPr>
              <w:jc w:val="center"/>
              <w:rPr>
                <w:rFonts w:hint="eastAsia" w:ascii="宋体" w:hAnsi="宋体" w:cs="宋体"/>
                <w:bCs/>
                <w:sz w:val="20"/>
                <w:lang w:val="en-US" w:eastAsia="zh-CN"/>
              </w:rPr>
            </w:pPr>
            <w:r>
              <w:rPr>
                <w:rFonts w:hint="eastAsia" w:ascii="宋体" w:hAnsi="宋体" w:cs="宋体"/>
                <w:bCs/>
                <w:sz w:val="20"/>
                <w:lang w:val="en-US" w:eastAsia="zh-CN"/>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default" w:ascii="宋体" w:hAnsi="宋体" w:eastAsia="宋体" w:cs="宋体"/>
                <w:bCs/>
                <w:sz w:val="20"/>
                <w:lang w:val="en-US" w:eastAsia="zh-CN"/>
              </w:rPr>
            </w:pPr>
            <w:r>
              <w:rPr>
                <w:rFonts w:hint="eastAsia" w:ascii="宋体" w:hAnsi="宋体" w:cs="宋体"/>
                <w:bCs/>
                <w:sz w:val="20"/>
                <w:lang w:val="en-US" w:eastAsia="zh-CN"/>
              </w:rPr>
              <w:t>资产总额</w:t>
            </w:r>
          </w:p>
        </w:tc>
        <w:tc>
          <w:tcPr>
            <w:tcW w:w="1210" w:type="dxa"/>
            <w:noWrap w:val="0"/>
            <w:vAlign w:val="center"/>
          </w:tcPr>
          <w:p>
            <w:pPr>
              <w:widowControl/>
              <w:jc w:val="center"/>
              <w:rPr>
                <w:rFonts w:ascii="宋体" w:hAnsi="宋体" w:cs="宋体"/>
                <w:bCs/>
                <w:sz w:val="20"/>
              </w:rPr>
            </w:pPr>
            <w:r>
              <w:rPr>
                <w:rFonts w:hint="eastAsia" w:ascii="宋体" w:hAnsi="宋体" w:cs="宋体"/>
                <w:bCs/>
                <w:sz w:val="20"/>
                <w:lang w:val="en-US" w:eastAsia="zh-CN"/>
              </w:rPr>
              <w:t>412.19</w:t>
            </w:r>
          </w:p>
        </w:tc>
        <w:tc>
          <w:tcPr>
            <w:tcW w:w="1460" w:type="dxa"/>
            <w:noWrap w:val="0"/>
            <w:vAlign w:val="center"/>
          </w:tcPr>
          <w:p>
            <w:pPr>
              <w:widowControl/>
              <w:jc w:val="center"/>
              <w:rPr>
                <w:rFonts w:ascii="宋体" w:hAnsi="宋体" w:cs="宋体"/>
                <w:bCs/>
                <w:sz w:val="20"/>
              </w:rPr>
            </w:pPr>
            <w:r>
              <w:rPr>
                <w:rFonts w:hint="eastAsia" w:ascii="宋体" w:hAnsi="宋体" w:cs="宋体"/>
                <w:bCs/>
                <w:sz w:val="20"/>
                <w:lang w:val="en-US" w:eastAsia="zh-CN"/>
              </w:rPr>
              <w:t>536.28</w:t>
            </w:r>
          </w:p>
        </w:tc>
        <w:tc>
          <w:tcPr>
            <w:tcW w:w="1146" w:type="dxa"/>
            <w:noWrap w:val="0"/>
            <w:vAlign w:val="center"/>
          </w:tcPr>
          <w:p>
            <w:pPr>
              <w:jc w:val="center"/>
              <w:rPr>
                <w:rFonts w:ascii="宋体" w:hAnsi="宋体" w:cs="宋体"/>
                <w:bCs/>
                <w:sz w:val="20"/>
              </w:rPr>
            </w:pPr>
            <w:r>
              <w:rPr>
                <w:rFonts w:hint="eastAsia" w:ascii="宋体" w:hAnsi="宋体" w:cs="宋体"/>
                <w:bCs/>
                <w:sz w:val="20"/>
                <w:lang w:val="en-US" w:eastAsia="zh-CN"/>
              </w:rPr>
              <w:t>124.09</w:t>
            </w:r>
          </w:p>
        </w:tc>
        <w:tc>
          <w:tcPr>
            <w:tcW w:w="1270" w:type="dxa"/>
            <w:noWrap w:val="0"/>
            <w:vAlign w:val="center"/>
          </w:tcPr>
          <w:p>
            <w:pPr>
              <w:jc w:val="center"/>
              <w:rPr>
                <w:rFonts w:ascii="宋体" w:hAnsi="宋体" w:cs="宋体"/>
                <w:bCs/>
                <w:sz w:val="20"/>
              </w:rPr>
            </w:pPr>
            <w:r>
              <w:rPr>
                <w:rFonts w:hint="eastAsia" w:ascii="宋体" w:hAnsi="宋体" w:cs="宋体"/>
                <w:bCs/>
                <w:sz w:val="20"/>
                <w:lang w:val="en-US" w:eastAsia="zh-CN"/>
              </w:rPr>
              <w:t>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72" w:type="dxa"/>
            <w:noWrap w:val="0"/>
            <w:vAlign w:val="center"/>
          </w:tcPr>
          <w:p>
            <w:pPr>
              <w:jc w:val="center"/>
              <w:rPr>
                <w:rFonts w:ascii="宋体" w:hAnsi="宋体" w:cs="宋体"/>
                <w:bCs/>
                <w:sz w:val="20"/>
              </w:rPr>
            </w:pPr>
            <w:r>
              <w:rPr>
                <w:rFonts w:hint="eastAsia" w:ascii="宋体" w:hAnsi="宋体" w:cs="宋体"/>
                <w:bCs/>
                <w:sz w:val="20"/>
              </w:rPr>
              <w:t>7</w:t>
            </w:r>
          </w:p>
        </w:tc>
        <w:tc>
          <w:tcPr>
            <w:tcW w:w="1467"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w:t>
            </w:r>
            <w:r>
              <w:rPr>
                <w:rFonts w:hint="eastAsia" w:ascii="宋体" w:hAnsi="宋体" w:cs="宋体"/>
                <w:bCs/>
                <w:sz w:val="20"/>
                <w:lang w:val="en-US" w:eastAsia="zh-CN"/>
              </w:rPr>
              <w:t>决策依据</w:t>
            </w:r>
            <w:r>
              <w:rPr>
                <w:rFonts w:hint="eastAsia" w:ascii="宋体" w:hAnsi="宋体" w:cs="宋体"/>
                <w:bCs/>
                <w:sz w:val="20"/>
              </w:rPr>
              <w:t>、比选评估机构</w:t>
            </w:r>
            <w:r>
              <w:rPr>
                <w:rFonts w:hint="eastAsia" w:ascii="宋体" w:hAnsi="宋体" w:cs="宋体"/>
                <w:bCs/>
                <w:sz w:val="20"/>
                <w:lang w:val="en-US" w:eastAsia="zh-CN"/>
              </w:rPr>
              <w:t>资料及</w:t>
            </w:r>
            <w:r>
              <w:rPr>
                <w:rFonts w:hint="eastAsia" w:ascii="宋体" w:hAnsi="宋体" w:cs="宋体"/>
                <w:bCs/>
                <w:sz w:val="20"/>
              </w:rPr>
              <w:t>评估报告初稿纸质及电子资料在</w:t>
            </w:r>
            <w:r>
              <w:rPr>
                <w:rFonts w:hint="eastAsia" w:ascii="宋体" w:hAnsi="宋体" w:cs="宋体"/>
                <w:bCs/>
                <w:sz w:val="20"/>
                <w:lang w:val="en-US" w:eastAsia="zh-CN"/>
              </w:rPr>
              <w:t>中国煤炭地质总局资产财务部</w:t>
            </w:r>
            <w:r>
              <w:rPr>
                <w:rFonts w:hint="eastAsia" w:ascii="宋体" w:hAnsi="宋体" w:cs="宋体"/>
                <w:bCs/>
                <w:sz w:val="20"/>
              </w:rPr>
              <w:t>。</w:t>
            </w:r>
          </w:p>
        </w:tc>
      </w:tr>
    </w:tbl>
    <w:p>
      <w:pPr>
        <w:rPr>
          <w:rFonts w:hint="eastAsia" w:ascii="宋体" w:hAnsi="宋体" w:cs="宋体"/>
          <w:bCs/>
          <w:sz w:val="2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2EFF"/>
    <w:rsid w:val="7A6E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2021-06-02T08:51:00Z</dcterms:created>
  <dc:creator>宣传处</dc:creator>
  <cp:lastModifiedBy>宣传处</cp:lastModifiedBy>
  <dcterms:modified xsi:type="dcterms:W3CDTF">2021-06-02T08:52:19Z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42F8325A87C74D5CA0A908C15D91288A</vt:lpwstr>
  </property>
</Properties>
</file>