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sz w:val="28"/>
          <w:szCs w:val="28"/>
        </w:rPr>
      </w:pPr>
      <w:r>
        <w:rPr>
          <w:rFonts w:hint="eastAsia" w:ascii="黑体" w:hAnsi="黑体" w:eastAsia="黑体" w:cs="黑体"/>
          <w:bCs/>
          <w:sz w:val="28"/>
          <w:szCs w:val="28"/>
        </w:rPr>
        <w:t>附件：</w:t>
      </w:r>
    </w:p>
    <w:p>
      <w:pPr>
        <w:jc w:val="center"/>
        <w:rPr>
          <w:rFonts w:ascii="宋体" w:hAnsi="宋体" w:cs="宋体"/>
          <w:bCs/>
          <w:sz w:val="20"/>
        </w:rPr>
      </w:pPr>
      <w:r>
        <w:rPr>
          <w:rFonts w:hint="eastAsia" w:ascii="黑体" w:hAnsi="黑体" w:eastAsia="黑体" w:cs="黑体"/>
          <w:bCs/>
          <w:sz w:val="30"/>
          <w:szCs w:val="30"/>
        </w:rPr>
        <w:t>中国煤炭地质总局资产评估项目公示表</w:t>
      </w:r>
    </w:p>
    <w:p>
      <w:pPr>
        <w:rPr>
          <w:rFonts w:hint="eastAsia" w:ascii="宋体" w:hAnsi="宋体" w:cs="宋体"/>
          <w:bCs/>
          <w:sz w:val="20"/>
          <w:lang w:val="en-US" w:eastAsia="zh-CN"/>
        </w:rPr>
      </w:pPr>
      <w:r>
        <w:rPr>
          <w:rFonts w:hint="eastAsia" w:ascii="宋体" w:hAnsi="宋体" w:cs="宋体"/>
          <w:bCs/>
          <w:sz w:val="20"/>
        </w:rPr>
        <w:t>评估项目：</w:t>
      </w:r>
      <w:r>
        <w:rPr>
          <w:rFonts w:hint="eastAsia" w:ascii="宋体" w:hAnsi="宋体" w:cs="宋体"/>
          <w:bCs/>
          <w:sz w:val="20"/>
          <w:lang w:val="en-US" w:eastAsia="zh-CN"/>
        </w:rPr>
        <w:t>湖北路网供应链有限公司股东全部权益资产评估</w:t>
      </w:r>
    </w:p>
    <w:p>
      <w:pPr>
        <w:rPr>
          <w:rFonts w:ascii="宋体" w:hAnsi="宋体" w:cs="宋体"/>
          <w:bCs/>
          <w:sz w:val="20"/>
        </w:rPr>
      </w:pPr>
      <w:r>
        <w:rPr>
          <w:rFonts w:hint="eastAsia" w:ascii="宋体" w:hAnsi="宋体" w:cs="宋体"/>
          <w:bCs/>
          <w:sz w:val="20"/>
        </w:rPr>
        <w:t>公示期限：20</w:t>
      </w:r>
      <w:r>
        <w:rPr>
          <w:rFonts w:hint="eastAsia" w:ascii="宋体" w:hAnsi="宋体" w:cs="宋体"/>
          <w:bCs/>
          <w:sz w:val="20"/>
          <w:lang w:val="en-US" w:eastAsia="zh-CN"/>
        </w:rPr>
        <w:t>21</w:t>
      </w:r>
      <w:r>
        <w:rPr>
          <w:rFonts w:hint="eastAsia" w:ascii="宋体" w:hAnsi="宋体" w:cs="宋体"/>
          <w:bCs/>
          <w:sz w:val="20"/>
        </w:rPr>
        <w:t>年</w:t>
      </w:r>
      <w:r>
        <w:rPr>
          <w:rFonts w:hint="eastAsia" w:ascii="宋体" w:hAnsi="宋体" w:cs="宋体"/>
          <w:bCs/>
          <w:sz w:val="20"/>
          <w:lang w:val="en-US" w:eastAsia="zh-CN"/>
        </w:rPr>
        <w:t>11</w:t>
      </w:r>
      <w:r>
        <w:rPr>
          <w:rFonts w:hint="eastAsia" w:ascii="宋体" w:hAnsi="宋体" w:cs="宋体"/>
          <w:bCs/>
          <w:sz w:val="20"/>
        </w:rPr>
        <w:t>月</w:t>
      </w:r>
      <w:r>
        <w:rPr>
          <w:rFonts w:hint="eastAsia" w:ascii="宋体" w:hAnsi="宋体" w:cs="宋体"/>
          <w:bCs/>
          <w:sz w:val="20"/>
          <w:lang w:val="en-US" w:eastAsia="zh-CN"/>
        </w:rPr>
        <w:t>25</w:t>
      </w:r>
      <w:r>
        <w:rPr>
          <w:rFonts w:hint="eastAsia" w:ascii="宋体" w:hAnsi="宋体" w:cs="宋体"/>
          <w:bCs/>
          <w:sz w:val="20"/>
        </w:rPr>
        <w:t>日至20</w:t>
      </w:r>
      <w:r>
        <w:rPr>
          <w:rFonts w:hint="eastAsia" w:ascii="宋体" w:hAnsi="宋体" w:cs="宋体"/>
          <w:bCs/>
          <w:sz w:val="20"/>
          <w:lang w:val="en-US" w:eastAsia="zh-CN"/>
        </w:rPr>
        <w:t>21</w:t>
      </w:r>
      <w:r>
        <w:rPr>
          <w:rFonts w:hint="eastAsia" w:ascii="宋体" w:hAnsi="宋体" w:cs="宋体"/>
          <w:bCs/>
          <w:sz w:val="20"/>
        </w:rPr>
        <w:t>年</w:t>
      </w:r>
      <w:r>
        <w:rPr>
          <w:rFonts w:hint="eastAsia" w:ascii="宋体" w:hAnsi="宋体" w:cs="宋体"/>
          <w:bCs/>
          <w:sz w:val="20"/>
          <w:lang w:val="en-US" w:eastAsia="zh-CN"/>
        </w:rPr>
        <w:t>12</w:t>
      </w:r>
      <w:r>
        <w:rPr>
          <w:rFonts w:hint="eastAsia" w:ascii="宋体" w:hAnsi="宋体" w:cs="宋体"/>
          <w:bCs/>
          <w:sz w:val="20"/>
        </w:rPr>
        <w:t>月</w:t>
      </w:r>
      <w:r>
        <w:rPr>
          <w:rFonts w:hint="eastAsia" w:ascii="宋体" w:hAnsi="宋体" w:cs="宋体"/>
          <w:bCs/>
          <w:sz w:val="20"/>
          <w:lang w:val="en-US" w:eastAsia="zh-CN"/>
        </w:rPr>
        <w:t>1</w:t>
      </w:r>
      <w:r>
        <w:rPr>
          <w:rFonts w:hint="eastAsia" w:ascii="宋体" w:hAnsi="宋体" w:cs="宋体"/>
          <w:bCs/>
          <w:sz w:val="20"/>
        </w:rPr>
        <w:t>日</w:t>
      </w:r>
    </w:p>
    <w:tbl>
      <w:tblPr>
        <w:tblStyle w:val="4"/>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467"/>
        <w:gridCol w:w="2280"/>
        <w:gridCol w:w="1276"/>
        <w:gridCol w:w="1179"/>
        <w:gridCol w:w="1320"/>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2" w:type="dxa"/>
            <w:noWrap w:val="0"/>
            <w:vAlign w:val="center"/>
          </w:tcPr>
          <w:p>
            <w:pPr>
              <w:jc w:val="center"/>
              <w:rPr>
                <w:rFonts w:ascii="宋体" w:hAnsi="宋体" w:cs="宋体"/>
                <w:bCs/>
                <w:sz w:val="20"/>
              </w:rPr>
            </w:pPr>
            <w:r>
              <w:rPr>
                <w:rFonts w:hint="eastAsia" w:ascii="宋体" w:hAnsi="宋体" w:cs="宋体"/>
                <w:bCs/>
                <w:sz w:val="20"/>
              </w:rPr>
              <w:t>序号</w:t>
            </w:r>
          </w:p>
        </w:tc>
        <w:tc>
          <w:tcPr>
            <w:tcW w:w="1467" w:type="dxa"/>
            <w:noWrap w:val="0"/>
            <w:vAlign w:val="center"/>
          </w:tcPr>
          <w:p>
            <w:pPr>
              <w:jc w:val="center"/>
              <w:rPr>
                <w:rFonts w:ascii="宋体" w:hAnsi="宋体" w:cs="宋体"/>
                <w:bCs/>
                <w:sz w:val="20"/>
              </w:rPr>
            </w:pPr>
            <w:r>
              <w:rPr>
                <w:rFonts w:hint="eastAsia" w:ascii="宋体" w:hAnsi="宋体" w:cs="宋体"/>
                <w:bCs/>
                <w:sz w:val="20"/>
              </w:rPr>
              <w:t>公示项目</w:t>
            </w:r>
          </w:p>
        </w:tc>
        <w:tc>
          <w:tcPr>
            <w:tcW w:w="7200" w:type="dxa"/>
            <w:gridSpan w:val="5"/>
            <w:noWrap w:val="0"/>
            <w:vAlign w:val="center"/>
          </w:tcPr>
          <w:p>
            <w:pPr>
              <w:jc w:val="center"/>
              <w:rPr>
                <w:rFonts w:ascii="宋体" w:hAnsi="宋体" w:cs="宋体"/>
                <w:bCs/>
                <w:sz w:val="20"/>
              </w:rPr>
            </w:pPr>
            <w:r>
              <w:rPr>
                <w:rFonts w:hint="eastAsia" w:ascii="宋体" w:hAnsi="宋体" w:cs="宋体"/>
                <w:bCs/>
                <w:sz w:val="20"/>
              </w:rPr>
              <w:t>公示内容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72" w:type="dxa"/>
            <w:noWrap w:val="0"/>
            <w:vAlign w:val="center"/>
          </w:tcPr>
          <w:p>
            <w:pPr>
              <w:jc w:val="center"/>
              <w:rPr>
                <w:rFonts w:ascii="宋体" w:hAnsi="宋体" w:cs="宋体"/>
                <w:bCs/>
                <w:sz w:val="20"/>
              </w:rPr>
            </w:pPr>
            <w:r>
              <w:rPr>
                <w:rFonts w:hint="eastAsia" w:ascii="宋体" w:hAnsi="宋体" w:cs="宋体"/>
                <w:bCs/>
                <w:sz w:val="20"/>
              </w:rPr>
              <w:t>1</w:t>
            </w:r>
          </w:p>
        </w:tc>
        <w:tc>
          <w:tcPr>
            <w:tcW w:w="1467" w:type="dxa"/>
            <w:noWrap w:val="0"/>
            <w:vAlign w:val="center"/>
          </w:tcPr>
          <w:p>
            <w:pPr>
              <w:jc w:val="center"/>
              <w:rPr>
                <w:rFonts w:ascii="宋体" w:hAnsi="宋体" w:cs="宋体"/>
                <w:bCs/>
                <w:sz w:val="20"/>
              </w:rPr>
            </w:pPr>
            <w:r>
              <w:rPr>
                <w:rFonts w:hint="eastAsia" w:ascii="宋体" w:hAnsi="宋体" w:cs="宋体"/>
                <w:bCs/>
                <w:sz w:val="20"/>
              </w:rPr>
              <w:t>经济行为批准</w:t>
            </w:r>
          </w:p>
          <w:p>
            <w:pPr>
              <w:jc w:val="center"/>
              <w:rPr>
                <w:rFonts w:ascii="宋体" w:hAnsi="宋体" w:cs="宋体"/>
                <w:bCs/>
                <w:sz w:val="20"/>
              </w:rPr>
            </w:pPr>
            <w:r>
              <w:rPr>
                <w:rFonts w:hint="eastAsia" w:ascii="宋体" w:hAnsi="宋体" w:cs="宋体"/>
                <w:bCs/>
                <w:sz w:val="20"/>
              </w:rPr>
              <w:t>文件</w:t>
            </w:r>
          </w:p>
        </w:tc>
        <w:tc>
          <w:tcPr>
            <w:tcW w:w="7200" w:type="dxa"/>
            <w:gridSpan w:val="5"/>
            <w:noWrap w:val="0"/>
            <w:vAlign w:val="center"/>
          </w:tcPr>
          <w:p>
            <w:pPr>
              <w:rPr>
                <w:rFonts w:ascii="宋体" w:hAnsi="宋体" w:cs="宋体"/>
                <w:bCs/>
                <w:sz w:val="20"/>
              </w:rPr>
            </w:pPr>
            <w:r>
              <w:rPr>
                <w:rFonts w:hint="eastAsia" w:ascii="宋体" w:hAnsi="宋体" w:eastAsia="宋体" w:cs="宋体"/>
                <w:bCs/>
                <w:sz w:val="20"/>
                <w:lang w:eastAsia="zh-CN"/>
              </w:rPr>
              <w:t>根据《中煤地第二勘探局有限责任公司关于同意中能化常州物流有限公司收购湖北路网供应链有限公司股权的批复（中煤地二局公司发〔2019〕141号）和《关于印发国有资产评估管理办法的通知》（中煤地发财务〔2020〕17号）的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672" w:type="dxa"/>
            <w:noWrap w:val="0"/>
            <w:vAlign w:val="center"/>
          </w:tcPr>
          <w:p>
            <w:pPr>
              <w:jc w:val="center"/>
              <w:rPr>
                <w:rFonts w:ascii="宋体" w:hAnsi="宋体" w:cs="宋体"/>
                <w:bCs/>
                <w:sz w:val="20"/>
              </w:rPr>
            </w:pPr>
            <w:r>
              <w:rPr>
                <w:rFonts w:hint="eastAsia" w:ascii="宋体" w:hAnsi="宋体" w:cs="宋体"/>
                <w:bCs/>
                <w:sz w:val="20"/>
              </w:rPr>
              <w:t>2</w:t>
            </w:r>
          </w:p>
        </w:tc>
        <w:tc>
          <w:tcPr>
            <w:tcW w:w="1467" w:type="dxa"/>
            <w:noWrap w:val="0"/>
            <w:vAlign w:val="center"/>
          </w:tcPr>
          <w:p>
            <w:pPr>
              <w:jc w:val="center"/>
              <w:rPr>
                <w:rFonts w:ascii="宋体" w:hAnsi="宋体" w:cs="宋体"/>
                <w:bCs/>
                <w:sz w:val="20"/>
              </w:rPr>
            </w:pPr>
            <w:r>
              <w:rPr>
                <w:rFonts w:hint="eastAsia" w:ascii="宋体" w:hAnsi="宋体" w:cs="宋体"/>
                <w:bCs/>
                <w:sz w:val="20"/>
              </w:rPr>
              <w:t>评估机构选聘</w:t>
            </w:r>
          </w:p>
          <w:p>
            <w:pPr>
              <w:jc w:val="center"/>
              <w:rPr>
                <w:rFonts w:ascii="宋体" w:hAnsi="宋体" w:cs="宋体"/>
                <w:bCs/>
                <w:sz w:val="20"/>
              </w:rPr>
            </w:pPr>
            <w:r>
              <w:rPr>
                <w:rFonts w:hint="eastAsia" w:ascii="宋体" w:hAnsi="宋体" w:cs="宋体"/>
                <w:bCs/>
                <w:sz w:val="20"/>
              </w:rPr>
              <w:t>方式</w:t>
            </w:r>
          </w:p>
        </w:tc>
        <w:tc>
          <w:tcPr>
            <w:tcW w:w="7200" w:type="dxa"/>
            <w:gridSpan w:val="5"/>
            <w:noWrap w:val="0"/>
            <w:vAlign w:val="center"/>
          </w:tcPr>
          <w:p>
            <w:pPr>
              <w:rPr>
                <w:rFonts w:ascii="宋体" w:hAnsi="宋体" w:cs="宋体"/>
                <w:bCs/>
                <w:sz w:val="20"/>
              </w:rPr>
            </w:pPr>
            <w:r>
              <w:rPr>
                <w:rFonts w:hint="eastAsia" w:ascii="宋体" w:hAnsi="宋体" w:eastAsia="宋体" w:cs="宋体"/>
                <w:bCs/>
                <w:sz w:val="20"/>
                <w:lang w:eastAsia="zh-CN"/>
              </w:rPr>
              <w:t>由二勘局集团公司聘请中兴华会计师事务所（特殊普通合伙）补办对湖北路网供应链有限公司财务审计工作，并在此基础上，聘请北京仁达房地产土地资产评估有限公司开展资产评估工作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672" w:type="dxa"/>
            <w:noWrap w:val="0"/>
            <w:vAlign w:val="center"/>
          </w:tcPr>
          <w:p>
            <w:pPr>
              <w:jc w:val="center"/>
              <w:rPr>
                <w:rFonts w:ascii="宋体" w:hAnsi="宋体" w:cs="宋体"/>
                <w:bCs/>
                <w:sz w:val="20"/>
              </w:rPr>
            </w:pPr>
          </w:p>
          <w:p>
            <w:pPr>
              <w:jc w:val="center"/>
              <w:rPr>
                <w:rFonts w:ascii="宋体" w:hAnsi="宋体" w:cs="宋体"/>
                <w:bCs/>
                <w:sz w:val="20"/>
              </w:rPr>
            </w:pPr>
            <w:r>
              <w:rPr>
                <w:rFonts w:hint="eastAsia" w:ascii="宋体" w:hAnsi="宋体" w:cs="宋体"/>
                <w:bCs/>
                <w:sz w:val="20"/>
              </w:rPr>
              <w:t>3</w:t>
            </w:r>
          </w:p>
        </w:tc>
        <w:tc>
          <w:tcPr>
            <w:tcW w:w="1467" w:type="dxa"/>
            <w:noWrap w:val="0"/>
            <w:vAlign w:val="center"/>
          </w:tcPr>
          <w:p>
            <w:pPr>
              <w:jc w:val="center"/>
              <w:rPr>
                <w:rFonts w:ascii="宋体" w:hAnsi="宋体" w:cs="宋体"/>
                <w:bCs/>
                <w:sz w:val="20"/>
              </w:rPr>
            </w:pPr>
            <w:r>
              <w:rPr>
                <w:rFonts w:hint="eastAsia" w:ascii="宋体" w:hAnsi="宋体" w:cs="宋体"/>
                <w:bCs/>
                <w:sz w:val="20"/>
              </w:rPr>
              <w:t>评估机构及评估师资质</w:t>
            </w:r>
          </w:p>
        </w:tc>
        <w:tc>
          <w:tcPr>
            <w:tcW w:w="7200" w:type="dxa"/>
            <w:gridSpan w:val="5"/>
            <w:noWrap w:val="0"/>
            <w:vAlign w:val="center"/>
          </w:tcPr>
          <w:p>
            <w:pPr>
              <w:rPr>
                <w:rFonts w:hint="default" w:ascii="宋体" w:hAnsi="宋体" w:eastAsia="宋体" w:cs="宋体"/>
                <w:bCs/>
                <w:sz w:val="20"/>
                <w:lang w:val="en-US" w:eastAsia="zh-CN"/>
              </w:rPr>
            </w:pPr>
            <w:r>
              <w:rPr>
                <w:rFonts w:hint="eastAsia" w:ascii="宋体" w:hAnsi="宋体" w:eastAsia="宋体" w:cs="宋体"/>
                <w:bCs/>
                <w:sz w:val="20"/>
                <w:lang w:eastAsia="zh-CN"/>
              </w:rPr>
              <w:t>北京仁达房地产土地资产评估有限公司</w:t>
            </w:r>
            <w:r>
              <w:rPr>
                <w:rFonts w:hint="eastAsia" w:ascii="宋体" w:hAnsi="宋体" w:cs="宋体"/>
                <w:bCs/>
                <w:sz w:val="20"/>
              </w:rPr>
              <w:t>：</w:t>
            </w:r>
            <w:r>
              <w:rPr>
                <w:rFonts w:hint="eastAsia" w:ascii="宋体" w:hAnsi="宋体" w:cs="宋体"/>
                <w:bCs/>
                <w:sz w:val="20"/>
                <w:lang w:val="en-US" w:eastAsia="zh-CN"/>
              </w:rPr>
              <w:t>赵芹 11170087</w:t>
            </w:r>
            <w:r>
              <w:rPr>
                <w:rFonts w:hint="eastAsia" w:ascii="宋体" w:hAnsi="宋体" w:cs="宋体"/>
                <w:bCs/>
                <w:sz w:val="20"/>
              </w:rPr>
              <w:t>；</w:t>
            </w:r>
            <w:r>
              <w:rPr>
                <w:rFonts w:hint="eastAsia" w:ascii="宋体" w:hAnsi="宋体" w:cs="宋体"/>
                <w:bCs/>
                <w:sz w:val="20"/>
                <w:lang w:val="en-US" w:eastAsia="zh-CN"/>
              </w:rPr>
              <w:t>王敏11200057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672" w:type="dxa"/>
            <w:noWrap w:val="0"/>
            <w:vAlign w:val="center"/>
          </w:tcPr>
          <w:p>
            <w:pPr>
              <w:jc w:val="center"/>
              <w:rPr>
                <w:rFonts w:ascii="宋体" w:hAnsi="宋体" w:cs="宋体"/>
                <w:bCs/>
                <w:sz w:val="20"/>
              </w:rPr>
            </w:pPr>
            <w:r>
              <w:rPr>
                <w:rFonts w:hint="eastAsia" w:ascii="宋体" w:hAnsi="宋体" w:cs="宋体"/>
                <w:bCs/>
                <w:sz w:val="20"/>
              </w:rPr>
              <w:t>4</w:t>
            </w:r>
          </w:p>
        </w:tc>
        <w:tc>
          <w:tcPr>
            <w:tcW w:w="1467" w:type="dxa"/>
            <w:noWrap w:val="0"/>
            <w:vAlign w:val="center"/>
          </w:tcPr>
          <w:p>
            <w:pPr>
              <w:jc w:val="center"/>
              <w:rPr>
                <w:rFonts w:ascii="宋体" w:hAnsi="宋体" w:cs="宋体"/>
                <w:bCs/>
                <w:sz w:val="20"/>
              </w:rPr>
            </w:pPr>
            <w:r>
              <w:rPr>
                <w:rFonts w:hint="eastAsia" w:ascii="宋体" w:hAnsi="宋体" w:cs="宋体"/>
                <w:bCs/>
                <w:sz w:val="20"/>
              </w:rPr>
              <w:t>评估程序履行及审核情况</w:t>
            </w:r>
          </w:p>
        </w:tc>
        <w:tc>
          <w:tcPr>
            <w:tcW w:w="7200" w:type="dxa"/>
            <w:gridSpan w:val="5"/>
            <w:noWrap w:val="0"/>
            <w:vAlign w:val="center"/>
          </w:tcPr>
          <w:p>
            <w:pPr>
              <w:rPr>
                <w:rFonts w:ascii="宋体" w:hAnsi="宋体" w:cs="宋体"/>
                <w:bCs/>
                <w:sz w:val="20"/>
              </w:rPr>
            </w:pPr>
            <w:r>
              <w:rPr>
                <w:rFonts w:hint="eastAsia" w:ascii="宋体" w:hAnsi="宋体" w:eastAsia="宋体" w:cs="宋体"/>
                <w:bCs/>
                <w:sz w:val="20"/>
                <w:lang w:val="en-US" w:eastAsia="zh-CN"/>
              </w:rPr>
              <w:t>由二勘局集团公司聘请中兴华会计师事务所（特殊普通合伙）补办对湖北路网供应链有限公司财务审计工作，并在此基础上，聘请北京仁达房地产土地资产评估有限公司开展资产评估工作</w:t>
            </w:r>
            <w:r>
              <w:rPr>
                <w:rFonts w:hint="eastAsia" w:ascii="宋体" w:hAnsi="宋体" w:cs="宋体"/>
                <w:bCs/>
                <w:sz w:val="20"/>
                <w:lang w:val="en-US" w:eastAsia="zh-CN"/>
              </w:rPr>
              <w:t>，并由中国煤炭地质总局</w:t>
            </w:r>
            <w:r>
              <w:rPr>
                <w:rFonts w:hint="eastAsia" w:ascii="宋体" w:hAnsi="宋体" w:cs="宋体"/>
                <w:bCs/>
                <w:sz w:val="20"/>
              </w:rPr>
              <w:t>对评估报告初稿进行了审核。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0" w:hRule="atLeast"/>
        </w:trPr>
        <w:tc>
          <w:tcPr>
            <w:tcW w:w="672" w:type="dxa"/>
            <w:noWrap w:val="0"/>
            <w:vAlign w:val="center"/>
          </w:tcPr>
          <w:p>
            <w:pPr>
              <w:jc w:val="center"/>
              <w:rPr>
                <w:rFonts w:ascii="宋体" w:hAnsi="宋体" w:cs="宋体"/>
                <w:bCs/>
                <w:sz w:val="20"/>
              </w:rPr>
            </w:pPr>
            <w:r>
              <w:rPr>
                <w:rFonts w:hint="eastAsia" w:ascii="宋体" w:hAnsi="宋体" w:cs="宋体"/>
                <w:bCs/>
                <w:sz w:val="20"/>
              </w:rPr>
              <w:t>5</w:t>
            </w:r>
          </w:p>
        </w:tc>
        <w:tc>
          <w:tcPr>
            <w:tcW w:w="1467" w:type="dxa"/>
            <w:noWrap w:val="0"/>
            <w:vAlign w:val="center"/>
          </w:tcPr>
          <w:p>
            <w:pPr>
              <w:jc w:val="center"/>
              <w:rPr>
                <w:rFonts w:ascii="宋体" w:hAnsi="宋体" w:cs="宋体"/>
                <w:bCs/>
                <w:sz w:val="20"/>
              </w:rPr>
            </w:pPr>
            <w:r>
              <w:rPr>
                <w:rFonts w:hint="eastAsia" w:ascii="宋体" w:hAnsi="宋体" w:cs="宋体"/>
                <w:bCs/>
                <w:sz w:val="20"/>
              </w:rPr>
              <w:t>评估报告摘要和特别事项说明</w:t>
            </w:r>
          </w:p>
        </w:tc>
        <w:tc>
          <w:tcPr>
            <w:tcW w:w="7200" w:type="dxa"/>
            <w:gridSpan w:val="5"/>
            <w:noWrap w:val="0"/>
            <w:vAlign w:val="center"/>
          </w:tcPr>
          <w:p>
            <w:pPr>
              <w:widowControl/>
              <w:jc w:val="left"/>
              <w:rPr>
                <w:rFonts w:ascii="宋体" w:hAnsi="宋体" w:cs="宋体"/>
                <w:bCs/>
                <w:sz w:val="20"/>
              </w:rPr>
            </w:pPr>
            <w:r>
              <w:rPr>
                <w:rFonts w:hint="eastAsia" w:ascii="宋体" w:hAnsi="宋体" w:cs="宋体"/>
                <w:bCs/>
                <w:sz w:val="20"/>
              </w:rPr>
              <w:t>评估报告摘要</w:t>
            </w:r>
            <w:r>
              <w:rPr>
                <w:rFonts w:hint="eastAsia" w:ascii="宋体" w:hAnsi="宋体" w:cs="宋体"/>
                <w:bCs/>
                <w:sz w:val="20"/>
                <w:lang w:eastAsia="zh-CN"/>
              </w:rPr>
              <w:t>：</w:t>
            </w:r>
            <w:r>
              <w:rPr>
                <w:rFonts w:hint="eastAsia" w:ascii="宋体" w:hAnsi="宋体" w:eastAsia="宋体" w:cs="宋体"/>
                <w:bCs/>
                <w:sz w:val="20"/>
                <w:lang w:eastAsia="zh-CN"/>
              </w:rPr>
              <w:t>北京仁达房地产土地资产评估有限公司</w:t>
            </w:r>
            <w:r>
              <w:rPr>
                <w:rFonts w:hint="eastAsia" w:ascii="宋体" w:hAnsi="宋体" w:cs="宋体"/>
                <w:bCs/>
                <w:sz w:val="20"/>
                <w:lang w:eastAsia="zh-CN"/>
              </w:rPr>
              <w:t>接受贵公司委托，</w:t>
            </w:r>
            <w:r>
              <w:rPr>
                <w:rFonts w:hint="eastAsia" w:ascii="宋体" w:hAnsi="宋体" w:cs="宋体"/>
                <w:bCs/>
                <w:sz w:val="20"/>
                <w:lang w:val="en-US" w:eastAsia="zh-CN"/>
              </w:rPr>
              <w:t>按照</w:t>
            </w:r>
            <w:r>
              <w:rPr>
                <w:rFonts w:hint="eastAsia" w:ascii="宋体" w:hAnsi="宋体" w:cs="宋体"/>
                <w:bCs/>
                <w:sz w:val="20"/>
                <w:lang w:eastAsia="zh-CN"/>
              </w:rPr>
              <w:t>有关法律、</w:t>
            </w:r>
            <w:r>
              <w:rPr>
                <w:rFonts w:hint="eastAsia" w:ascii="宋体" w:hAnsi="宋体" w:cs="宋体"/>
                <w:bCs/>
                <w:sz w:val="20"/>
                <w:lang w:val="en-US" w:eastAsia="zh-CN"/>
              </w:rPr>
              <w:t>行政</w:t>
            </w:r>
            <w:r>
              <w:rPr>
                <w:rFonts w:hint="eastAsia" w:ascii="宋体" w:hAnsi="宋体" w:cs="宋体"/>
                <w:bCs/>
                <w:sz w:val="20"/>
                <w:lang w:eastAsia="zh-CN"/>
              </w:rPr>
              <w:t>法规和资产评估准则</w:t>
            </w:r>
            <w:r>
              <w:rPr>
                <w:rFonts w:hint="eastAsia" w:ascii="宋体" w:hAnsi="宋体" w:cs="宋体"/>
                <w:bCs/>
                <w:sz w:val="20"/>
                <w:lang w:val="en-US" w:eastAsia="zh-CN"/>
              </w:rPr>
              <w:t>的规定</w:t>
            </w:r>
            <w:r>
              <w:rPr>
                <w:rFonts w:hint="eastAsia" w:ascii="宋体" w:hAnsi="宋体" w:cs="宋体"/>
                <w:bCs/>
                <w:sz w:val="20"/>
                <w:lang w:eastAsia="zh-CN"/>
              </w:rPr>
              <w:t>，</w:t>
            </w:r>
            <w:r>
              <w:rPr>
                <w:rFonts w:hint="eastAsia" w:ascii="宋体" w:hAnsi="宋体" w:cs="宋体"/>
                <w:bCs/>
                <w:sz w:val="20"/>
                <w:lang w:val="en-US" w:eastAsia="zh-CN"/>
              </w:rPr>
              <w:t>坚持独立、客观、公正的原则，</w:t>
            </w:r>
            <w:r>
              <w:rPr>
                <w:rFonts w:hint="eastAsia" w:ascii="宋体" w:hAnsi="宋体" w:cs="宋体"/>
                <w:bCs/>
                <w:sz w:val="20"/>
                <w:lang w:eastAsia="zh-CN"/>
              </w:rPr>
              <w:t>采用</w:t>
            </w:r>
            <w:r>
              <w:rPr>
                <w:rFonts w:hint="eastAsia" w:ascii="宋体" w:hAnsi="宋体" w:cs="宋体"/>
                <w:bCs/>
                <w:sz w:val="20"/>
                <w:lang w:val="en-US" w:eastAsia="zh-CN"/>
              </w:rPr>
              <w:t>资产基础法</w:t>
            </w:r>
            <w:r>
              <w:rPr>
                <w:rFonts w:hint="eastAsia" w:ascii="宋体" w:hAnsi="宋体" w:cs="宋体"/>
                <w:bCs/>
                <w:sz w:val="20"/>
                <w:lang w:eastAsia="zh-CN"/>
              </w:rPr>
              <w:t>，按照必要的评估程序，对</w:t>
            </w:r>
            <w:r>
              <w:rPr>
                <w:rFonts w:hint="eastAsia" w:ascii="宋体" w:hAnsi="宋体" w:cs="宋体"/>
                <w:bCs/>
                <w:sz w:val="20"/>
                <w:lang w:val="en-US" w:eastAsia="zh-CN"/>
              </w:rPr>
              <w:t>中能化常州物流有限公司收购所涉及的湖北路网供应链有限公司股东全部权益在基准日的市场价值进行评估。</w:t>
            </w:r>
            <w:r>
              <w:rPr>
                <w:rFonts w:hint="eastAsia" w:ascii="宋体" w:hAnsi="宋体" w:cs="宋体"/>
                <w:bCs/>
                <w:sz w:val="20"/>
              </w:rPr>
              <w:t>评估对象是</w:t>
            </w:r>
            <w:r>
              <w:rPr>
                <w:rFonts w:hint="eastAsia" w:ascii="宋体" w:hAnsi="宋体" w:cs="宋体"/>
                <w:bCs/>
                <w:sz w:val="20"/>
                <w:lang w:val="en-US" w:eastAsia="zh-CN"/>
              </w:rPr>
              <w:t>湖北路网供应链有限公司于评估基准日的股东全部权益价值。</w:t>
            </w:r>
            <w:r>
              <w:rPr>
                <w:rFonts w:hint="eastAsia" w:ascii="宋体" w:hAnsi="宋体" w:cs="宋体"/>
                <w:bCs/>
                <w:sz w:val="20"/>
              </w:rPr>
              <w:t>评估范围包括</w:t>
            </w:r>
            <w:r>
              <w:rPr>
                <w:rFonts w:hint="eastAsia" w:ascii="宋体" w:hAnsi="宋体" w:cs="宋体"/>
                <w:bCs/>
                <w:sz w:val="20"/>
                <w:lang w:val="en-US" w:eastAsia="zh-CN"/>
              </w:rPr>
              <w:t>湖北路网供应链有限公司于评估基准日的全部资产及负债</w:t>
            </w:r>
            <w:r>
              <w:rPr>
                <w:rFonts w:hint="eastAsia" w:ascii="宋体" w:hAnsi="宋体" w:cs="宋体"/>
                <w:bCs/>
                <w:sz w:val="20"/>
              </w:rPr>
              <w:t>。</w:t>
            </w:r>
            <w:r>
              <w:rPr>
                <w:rFonts w:hint="eastAsia" w:ascii="宋体" w:hAnsi="宋体" w:cs="宋体"/>
                <w:bCs/>
                <w:sz w:val="20"/>
                <w:lang w:val="en-US" w:eastAsia="zh-CN"/>
              </w:rPr>
              <w:t>流动</w:t>
            </w:r>
            <w:r>
              <w:rPr>
                <w:rFonts w:hint="eastAsia" w:ascii="宋体" w:hAnsi="宋体" w:cs="宋体"/>
                <w:bCs/>
                <w:sz w:val="20"/>
              </w:rPr>
              <w:t>资产全部为</w:t>
            </w:r>
            <w:r>
              <w:rPr>
                <w:rFonts w:hint="eastAsia" w:ascii="宋体" w:hAnsi="宋体" w:cs="宋体"/>
                <w:bCs/>
                <w:sz w:val="20"/>
                <w:lang w:val="en-US" w:eastAsia="zh-CN"/>
              </w:rPr>
              <w:t>货币</w:t>
            </w:r>
            <w:r>
              <w:rPr>
                <w:rFonts w:hint="eastAsia" w:ascii="宋体" w:hAnsi="宋体" w:cs="宋体"/>
                <w:bCs/>
                <w:sz w:val="20"/>
              </w:rPr>
              <w:t>，本次评估的资产总额</w:t>
            </w:r>
            <w:r>
              <w:rPr>
                <w:rFonts w:hint="eastAsia" w:ascii="宋体" w:hAnsi="宋体" w:cs="宋体"/>
                <w:bCs/>
                <w:sz w:val="20"/>
                <w:lang w:val="en-US" w:eastAsia="zh-CN"/>
              </w:rPr>
              <w:t>0.41万</w:t>
            </w:r>
            <w:r>
              <w:rPr>
                <w:rFonts w:hint="eastAsia" w:ascii="宋体" w:hAnsi="宋体" w:cs="宋体"/>
                <w:bCs/>
                <w:sz w:val="20"/>
              </w:rPr>
              <w:t>元，</w:t>
            </w:r>
            <w:r>
              <w:rPr>
                <w:rFonts w:hint="eastAsia" w:ascii="宋体" w:hAnsi="宋体" w:cs="宋体"/>
                <w:bCs/>
                <w:sz w:val="20"/>
                <w:lang w:val="en-US" w:eastAsia="zh-CN"/>
              </w:rPr>
              <w:t>流动负债全部为其他应付款，本次评估的负债总额0.5万元，净资产（所有者权益）评估总额为-0.09万元。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72" w:type="dxa"/>
            <w:vMerge w:val="restart"/>
            <w:noWrap w:val="0"/>
            <w:vAlign w:val="center"/>
          </w:tcPr>
          <w:p>
            <w:pPr>
              <w:jc w:val="both"/>
              <w:rPr>
                <w:rFonts w:ascii="宋体" w:hAnsi="宋体" w:cs="宋体"/>
                <w:bCs/>
                <w:sz w:val="20"/>
              </w:rPr>
            </w:pPr>
            <w:r>
              <w:rPr>
                <w:rFonts w:hint="eastAsia" w:ascii="宋体" w:hAnsi="宋体" w:cs="宋体"/>
                <w:bCs/>
                <w:sz w:val="20"/>
              </w:rPr>
              <w:t>6</w:t>
            </w:r>
          </w:p>
        </w:tc>
        <w:tc>
          <w:tcPr>
            <w:tcW w:w="1467" w:type="dxa"/>
            <w:vMerge w:val="restart"/>
            <w:noWrap w:val="0"/>
            <w:vAlign w:val="center"/>
          </w:tcPr>
          <w:p>
            <w:pPr>
              <w:jc w:val="center"/>
              <w:rPr>
                <w:rFonts w:ascii="宋体" w:hAnsi="宋体" w:cs="宋体"/>
                <w:bCs/>
                <w:sz w:val="20"/>
              </w:rPr>
            </w:pPr>
            <w:r>
              <w:rPr>
                <w:rFonts w:hint="eastAsia" w:ascii="宋体" w:hAnsi="宋体" w:cs="宋体"/>
                <w:bCs/>
                <w:sz w:val="20"/>
              </w:rPr>
              <w:t>评估结果汇总表</w:t>
            </w:r>
          </w:p>
          <w:p>
            <w:pPr>
              <w:jc w:val="center"/>
              <w:rPr>
                <w:rFonts w:ascii="宋体" w:hAnsi="宋体" w:cs="宋体"/>
                <w:bCs/>
                <w:sz w:val="20"/>
              </w:rPr>
            </w:pPr>
            <w:r>
              <w:rPr>
                <w:rFonts w:hint="eastAsia" w:ascii="宋体" w:hAnsi="宋体" w:cs="宋体"/>
                <w:bCs/>
                <w:sz w:val="20"/>
              </w:rPr>
              <w:t>（单位：</w:t>
            </w:r>
            <w:r>
              <w:rPr>
                <w:rFonts w:hint="eastAsia" w:ascii="宋体" w:hAnsi="宋体" w:cs="宋体"/>
                <w:bCs/>
                <w:sz w:val="20"/>
                <w:lang w:val="en-US" w:eastAsia="zh-CN"/>
              </w:rPr>
              <w:t>万</w:t>
            </w:r>
            <w:r>
              <w:rPr>
                <w:rFonts w:hint="eastAsia" w:ascii="宋体" w:hAnsi="宋体" w:cs="宋体"/>
                <w:bCs/>
                <w:sz w:val="20"/>
              </w:rPr>
              <w:t>元）</w:t>
            </w:r>
          </w:p>
        </w:tc>
        <w:tc>
          <w:tcPr>
            <w:tcW w:w="2280" w:type="dxa"/>
            <w:noWrap w:val="0"/>
            <w:vAlign w:val="center"/>
          </w:tcPr>
          <w:p>
            <w:pPr>
              <w:jc w:val="center"/>
              <w:rPr>
                <w:rFonts w:ascii="宋体" w:hAnsi="宋体" w:cs="宋体"/>
                <w:bCs/>
                <w:sz w:val="20"/>
              </w:rPr>
            </w:pPr>
            <w:r>
              <w:rPr>
                <w:rFonts w:hint="eastAsia" w:ascii="宋体" w:hAnsi="宋体" w:cs="宋体"/>
                <w:bCs/>
                <w:sz w:val="20"/>
              </w:rPr>
              <w:t>项  目</w:t>
            </w:r>
          </w:p>
        </w:tc>
        <w:tc>
          <w:tcPr>
            <w:tcW w:w="1276" w:type="dxa"/>
            <w:noWrap w:val="0"/>
            <w:vAlign w:val="center"/>
          </w:tcPr>
          <w:p>
            <w:pPr>
              <w:jc w:val="center"/>
              <w:rPr>
                <w:rFonts w:ascii="宋体" w:hAnsi="宋体" w:cs="宋体"/>
                <w:bCs/>
                <w:sz w:val="20"/>
              </w:rPr>
            </w:pPr>
            <w:r>
              <w:rPr>
                <w:rFonts w:hint="eastAsia" w:ascii="宋体" w:hAnsi="宋体" w:cs="宋体"/>
                <w:bCs/>
                <w:sz w:val="20"/>
              </w:rPr>
              <w:t>账面价值</w:t>
            </w:r>
          </w:p>
        </w:tc>
        <w:tc>
          <w:tcPr>
            <w:tcW w:w="1179" w:type="dxa"/>
            <w:noWrap w:val="0"/>
            <w:vAlign w:val="center"/>
          </w:tcPr>
          <w:p>
            <w:pPr>
              <w:jc w:val="center"/>
              <w:rPr>
                <w:rFonts w:hint="eastAsia" w:ascii="宋体" w:hAnsi="宋体" w:eastAsia="宋体" w:cs="宋体"/>
                <w:bCs/>
                <w:sz w:val="20"/>
                <w:lang w:eastAsia="zh-CN"/>
              </w:rPr>
            </w:pPr>
            <w:r>
              <w:rPr>
                <w:rFonts w:hint="eastAsia" w:ascii="宋体" w:hAnsi="宋体" w:cs="宋体"/>
                <w:bCs/>
                <w:sz w:val="20"/>
              </w:rPr>
              <w:t>评估值</w:t>
            </w:r>
          </w:p>
        </w:tc>
        <w:tc>
          <w:tcPr>
            <w:tcW w:w="1320" w:type="dxa"/>
            <w:noWrap w:val="0"/>
            <w:vAlign w:val="center"/>
          </w:tcPr>
          <w:p>
            <w:pPr>
              <w:jc w:val="center"/>
              <w:rPr>
                <w:rFonts w:ascii="宋体" w:hAnsi="宋体" w:cs="宋体"/>
                <w:bCs/>
                <w:sz w:val="20"/>
              </w:rPr>
            </w:pPr>
            <w:r>
              <w:rPr>
                <w:rFonts w:hint="eastAsia" w:ascii="宋体" w:hAnsi="宋体" w:cs="宋体"/>
                <w:bCs/>
                <w:sz w:val="20"/>
              </w:rPr>
              <w:t>增值额</w:t>
            </w:r>
          </w:p>
        </w:tc>
        <w:tc>
          <w:tcPr>
            <w:tcW w:w="1145" w:type="dxa"/>
            <w:noWrap w:val="0"/>
            <w:vAlign w:val="center"/>
          </w:tcPr>
          <w:p>
            <w:pPr>
              <w:jc w:val="center"/>
              <w:rPr>
                <w:rFonts w:ascii="宋体" w:hAnsi="宋体" w:cs="宋体"/>
                <w:bCs/>
                <w:sz w:val="20"/>
              </w:rPr>
            </w:pPr>
            <w:r>
              <w:rPr>
                <w:rFonts w:hint="eastAsia" w:ascii="宋体" w:hAnsi="宋体" w:cs="宋体"/>
                <w:bCs/>
                <w:sz w:val="20"/>
              </w:rPr>
              <w:t>增值率（%）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672" w:type="dxa"/>
            <w:vMerge w:val="continue"/>
            <w:noWrap w:val="0"/>
            <w:vAlign w:val="center"/>
          </w:tcPr>
          <w:p>
            <w:pPr>
              <w:jc w:val="both"/>
              <w:rPr>
                <w:rFonts w:ascii="宋体" w:hAnsi="宋体" w:cs="宋体"/>
                <w:bCs/>
                <w:sz w:val="20"/>
              </w:rPr>
            </w:pPr>
          </w:p>
        </w:tc>
        <w:tc>
          <w:tcPr>
            <w:tcW w:w="1467" w:type="dxa"/>
            <w:vMerge w:val="continue"/>
            <w:noWrap w:val="0"/>
            <w:vAlign w:val="center"/>
          </w:tcPr>
          <w:p>
            <w:pPr>
              <w:jc w:val="center"/>
              <w:rPr>
                <w:rFonts w:ascii="宋体" w:hAnsi="宋体" w:cs="宋体"/>
                <w:bCs/>
                <w:sz w:val="20"/>
              </w:rPr>
            </w:pPr>
          </w:p>
        </w:tc>
        <w:tc>
          <w:tcPr>
            <w:tcW w:w="2280" w:type="dxa"/>
            <w:noWrap w:val="0"/>
            <w:vAlign w:val="center"/>
          </w:tcPr>
          <w:p>
            <w:pPr>
              <w:jc w:val="center"/>
              <w:rPr>
                <w:rFonts w:ascii="宋体" w:hAnsi="宋体" w:cs="宋体"/>
                <w:bCs/>
                <w:sz w:val="20"/>
              </w:rPr>
            </w:pPr>
            <w:r>
              <w:rPr>
                <w:rFonts w:hint="eastAsia"/>
                <w:sz w:val="20"/>
                <w:szCs w:val="20"/>
              </w:rPr>
              <w:t>流动资产</w:t>
            </w:r>
          </w:p>
        </w:tc>
        <w:tc>
          <w:tcPr>
            <w:tcW w:w="1276" w:type="dxa"/>
            <w:noWrap w:val="0"/>
            <w:vAlign w:val="top"/>
          </w:tcPr>
          <w:p>
            <w:pPr>
              <w:jc w:val="center"/>
              <w:rPr>
                <w:rFonts w:hint="default" w:ascii="宋体" w:hAnsi="宋体" w:eastAsia="宋体" w:cs="宋体"/>
                <w:bCs/>
                <w:sz w:val="20"/>
                <w:lang w:val="en-US" w:eastAsia="zh-CN"/>
              </w:rPr>
            </w:pPr>
            <w:r>
              <w:rPr>
                <w:rFonts w:hint="eastAsia"/>
                <w:sz w:val="20"/>
                <w:szCs w:val="20"/>
                <w:lang w:val="en-US" w:eastAsia="zh-CN"/>
              </w:rPr>
              <w:t>0.41</w:t>
            </w:r>
          </w:p>
        </w:tc>
        <w:tc>
          <w:tcPr>
            <w:tcW w:w="1179" w:type="dxa"/>
            <w:noWrap w:val="0"/>
            <w:vAlign w:val="top"/>
          </w:tcPr>
          <w:p>
            <w:pPr>
              <w:jc w:val="center"/>
              <w:rPr>
                <w:rFonts w:hint="default" w:ascii="宋体" w:hAnsi="宋体" w:cs="宋体"/>
                <w:bCs/>
                <w:sz w:val="20"/>
                <w:lang w:val="en-US" w:eastAsia="zh-CN"/>
              </w:rPr>
            </w:pPr>
            <w:r>
              <w:rPr>
                <w:rFonts w:hint="eastAsia"/>
                <w:sz w:val="20"/>
                <w:szCs w:val="20"/>
                <w:lang w:val="en-US" w:eastAsia="zh-CN"/>
              </w:rPr>
              <w:t>0.41</w:t>
            </w:r>
          </w:p>
        </w:tc>
        <w:tc>
          <w:tcPr>
            <w:tcW w:w="1320" w:type="dxa"/>
            <w:noWrap w:val="0"/>
            <w:vAlign w:val="top"/>
          </w:tcPr>
          <w:p>
            <w:pPr>
              <w:jc w:val="center"/>
              <w:rPr>
                <w:rFonts w:hint="default" w:ascii="宋体" w:hAnsi="宋体" w:cs="宋体"/>
                <w:bCs/>
                <w:sz w:val="20"/>
                <w:lang w:val="en-US" w:eastAsia="zh-CN"/>
              </w:rPr>
            </w:pPr>
          </w:p>
        </w:tc>
        <w:tc>
          <w:tcPr>
            <w:tcW w:w="1145" w:type="dxa"/>
            <w:noWrap w:val="0"/>
            <w:vAlign w:val="top"/>
          </w:tcPr>
          <w:p>
            <w:pPr>
              <w:jc w:val="center"/>
              <w:rPr>
                <w:rFonts w:hint="default" w:ascii="宋体" w:hAnsi="宋体" w:cs="宋体"/>
                <w:bCs/>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672" w:type="dxa"/>
            <w:vMerge w:val="continue"/>
            <w:noWrap w:val="0"/>
            <w:vAlign w:val="center"/>
          </w:tcPr>
          <w:p>
            <w:pPr>
              <w:jc w:val="both"/>
              <w:rPr>
                <w:rFonts w:ascii="宋体" w:hAnsi="宋体" w:cs="宋体"/>
                <w:bCs/>
                <w:sz w:val="20"/>
              </w:rPr>
            </w:pPr>
          </w:p>
        </w:tc>
        <w:tc>
          <w:tcPr>
            <w:tcW w:w="1467" w:type="dxa"/>
            <w:vMerge w:val="continue"/>
            <w:noWrap w:val="0"/>
            <w:vAlign w:val="center"/>
          </w:tcPr>
          <w:p>
            <w:pPr>
              <w:jc w:val="center"/>
              <w:rPr>
                <w:rFonts w:ascii="宋体" w:hAnsi="宋体" w:cs="宋体"/>
                <w:bCs/>
                <w:sz w:val="20"/>
              </w:rPr>
            </w:pPr>
          </w:p>
        </w:tc>
        <w:tc>
          <w:tcPr>
            <w:tcW w:w="2280" w:type="dxa"/>
            <w:noWrap w:val="0"/>
            <w:vAlign w:val="center"/>
          </w:tcPr>
          <w:p>
            <w:pPr>
              <w:jc w:val="center"/>
              <w:rPr>
                <w:rFonts w:hint="default" w:ascii="宋体" w:hAnsi="宋体" w:eastAsia="宋体" w:cs="宋体"/>
                <w:bCs/>
                <w:sz w:val="20"/>
                <w:lang w:val="en-US" w:eastAsia="zh-CN"/>
              </w:rPr>
            </w:pPr>
            <w:r>
              <w:rPr>
                <w:rFonts w:hint="eastAsia"/>
                <w:sz w:val="20"/>
                <w:szCs w:val="20"/>
                <w:lang w:val="en-US" w:eastAsia="zh-CN"/>
              </w:rPr>
              <w:t>非</w:t>
            </w:r>
            <w:r>
              <w:rPr>
                <w:rFonts w:hint="eastAsia"/>
                <w:sz w:val="20"/>
                <w:szCs w:val="20"/>
              </w:rPr>
              <w:t>流动资产</w:t>
            </w:r>
          </w:p>
        </w:tc>
        <w:tc>
          <w:tcPr>
            <w:tcW w:w="1276" w:type="dxa"/>
            <w:noWrap w:val="0"/>
            <w:vAlign w:val="top"/>
          </w:tcPr>
          <w:p>
            <w:pPr>
              <w:jc w:val="center"/>
              <w:rPr>
                <w:rFonts w:hint="default" w:ascii="宋体" w:hAnsi="宋体" w:eastAsia="宋体" w:cs="宋体"/>
                <w:bCs/>
                <w:sz w:val="20"/>
                <w:lang w:val="en-US" w:eastAsia="zh-CN"/>
              </w:rPr>
            </w:pPr>
          </w:p>
        </w:tc>
        <w:tc>
          <w:tcPr>
            <w:tcW w:w="1179" w:type="dxa"/>
            <w:noWrap w:val="0"/>
            <w:vAlign w:val="top"/>
          </w:tcPr>
          <w:p>
            <w:pPr>
              <w:jc w:val="center"/>
              <w:rPr>
                <w:rFonts w:hint="default" w:ascii="宋体" w:hAnsi="宋体" w:eastAsia="宋体" w:cs="宋体"/>
                <w:bCs/>
                <w:sz w:val="20"/>
                <w:lang w:val="en-US" w:eastAsia="zh-CN"/>
              </w:rPr>
            </w:pPr>
          </w:p>
        </w:tc>
        <w:tc>
          <w:tcPr>
            <w:tcW w:w="1320" w:type="dxa"/>
            <w:noWrap w:val="0"/>
            <w:vAlign w:val="top"/>
          </w:tcPr>
          <w:p>
            <w:pPr>
              <w:jc w:val="center"/>
              <w:rPr>
                <w:rFonts w:hint="default" w:ascii="宋体" w:hAnsi="宋体" w:eastAsia="宋体" w:cs="宋体"/>
                <w:bCs/>
                <w:sz w:val="20"/>
                <w:lang w:val="en-US" w:eastAsia="zh-CN"/>
              </w:rPr>
            </w:pPr>
          </w:p>
        </w:tc>
        <w:tc>
          <w:tcPr>
            <w:tcW w:w="1145" w:type="dxa"/>
            <w:noWrap w:val="0"/>
            <w:vAlign w:val="top"/>
          </w:tcPr>
          <w:p>
            <w:pPr>
              <w:jc w:val="center"/>
              <w:rPr>
                <w:rFonts w:hint="default" w:ascii="宋体" w:hAnsi="宋体" w:eastAsia="宋体" w:cs="宋体"/>
                <w:bCs/>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72" w:type="dxa"/>
            <w:vMerge w:val="continue"/>
            <w:noWrap w:val="0"/>
            <w:vAlign w:val="center"/>
          </w:tcPr>
          <w:p>
            <w:pPr>
              <w:jc w:val="both"/>
              <w:rPr>
                <w:rFonts w:ascii="宋体" w:hAnsi="宋体" w:cs="宋体"/>
                <w:bCs/>
                <w:sz w:val="20"/>
              </w:rPr>
            </w:pPr>
          </w:p>
        </w:tc>
        <w:tc>
          <w:tcPr>
            <w:tcW w:w="1467" w:type="dxa"/>
            <w:vMerge w:val="continue"/>
            <w:noWrap w:val="0"/>
            <w:vAlign w:val="center"/>
          </w:tcPr>
          <w:p>
            <w:pPr>
              <w:jc w:val="center"/>
              <w:rPr>
                <w:rFonts w:ascii="宋体" w:hAnsi="宋体" w:cs="宋体"/>
                <w:bCs/>
                <w:sz w:val="20"/>
              </w:rPr>
            </w:pPr>
          </w:p>
        </w:tc>
        <w:tc>
          <w:tcPr>
            <w:tcW w:w="2280" w:type="dxa"/>
            <w:noWrap w:val="0"/>
            <w:vAlign w:val="center"/>
          </w:tcPr>
          <w:p>
            <w:pPr>
              <w:jc w:val="center"/>
              <w:rPr>
                <w:rFonts w:hint="default" w:ascii="宋体" w:hAnsi="宋体" w:eastAsia="宋体" w:cs="宋体"/>
                <w:bCs/>
                <w:sz w:val="20"/>
                <w:lang w:val="en-US" w:eastAsia="zh-CN"/>
              </w:rPr>
            </w:pPr>
            <w:r>
              <w:fldChar w:fldCharType="begin"/>
            </w:r>
            <w:r>
              <w:instrText xml:space="preserve"> HYPERLINK "file:///C:\\Users\\jiaoy\\Desktop\\2019年项目\\19150115B莱特迈思\\报告及说明\\1、资产基础法评估明细表（北京总部）1.8-jiao.xlsx" \l "分类汇总!B62" </w:instrText>
            </w:r>
            <w:r>
              <w:fldChar w:fldCharType="separate"/>
            </w:r>
            <w:r>
              <w:rPr>
                <w:rStyle w:val="3"/>
                <w:rFonts w:hint="eastAsia"/>
                <w:b/>
                <w:bCs/>
                <w:color w:val="auto"/>
                <w:sz w:val="20"/>
                <w:szCs w:val="20"/>
                <w:u w:val="none"/>
              </w:rPr>
              <w:t>资产总计</w:t>
            </w:r>
            <w:r>
              <w:fldChar w:fldCharType="end"/>
            </w:r>
          </w:p>
        </w:tc>
        <w:tc>
          <w:tcPr>
            <w:tcW w:w="1276" w:type="dxa"/>
            <w:noWrap w:val="0"/>
            <w:vAlign w:val="top"/>
          </w:tcPr>
          <w:p>
            <w:pPr>
              <w:jc w:val="center"/>
              <w:rPr>
                <w:rFonts w:hint="default" w:ascii="宋体" w:hAnsi="宋体" w:eastAsia="宋体" w:cs="宋体"/>
                <w:bCs/>
                <w:sz w:val="20"/>
                <w:lang w:val="en-US" w:eastAsia="zh-CN"/>
              </w:rPr>
            </w:pPr>
            <w:r>
              <w:rPr>
                <w:rFonts w:hint="eastAsia"/>
                <w:b/>
                <w:bCs/>
                <w:sz w:val="20"/>
                <w:szCs w:val="20"/>
                <w:lang w:val="en-US" w:eastAsia="zh-CN"/>
              </w:rPr>
              <w:t>0.41</w:t>
            </w:r>
          </w:p>
        </w:tc>
        <w:tc>
          <w:tcPr>
            <w:tcW w:w="1179" w:type="dxa"/>
            <w:noWrap w:val="0"/>
            <w:vAlign w:val="top"/>
          </w:tcPr>
          <w:p>
            <w:pPr>
              <w:jc w:val="center"/>
              <w:rPr>
                <w:rFonts w:hint="default" w:ascii="宋体" w:hAnsi="宋体" w:eastAsia="宋体" w:cs="宋体"/>
                <w:bCs/>
                <w:sz w:val="20"/>
                <w:lang w:val="en-US" w:eastAsia="zh-CN"/>
              </w:rPr>
            </w:pPr>
            <w:r>
              <w:rPr>
                <w:rFonts w:hint="eastAsia" w:ascii="宋体" w:hAnsi="宋体" w:eastAsia="宋体" w:cs="宋体"/>
                <w:bCs/>
                <w:sz w:val="20"/>
                <w:lang w:val="en-US" w:eastAsia="zh-CN"/>
              </w:rPr>
              <w:t>0.41</w:t>
            </w:r>
          </w:p>
        </w:tc>
        <w:tc>
          <w:tcPr>
            <w:tcW w:w="1320" w:type="dxa"/>
            <w:noWrap w:val="0"/>
            <w:vAlign w:val="top"/>
          </w:tcPr>
          <w:p>
            <w:pPr>
              <w:jc w:val="center"/>
              <w:rPr>
                <w:rFonts w:ascii="宋体" w:hAnsi="宋体" w:cs="宋体"/>
                <w:bCs/>
                <w:sz w:val="20"/>
              </w:rPr>
            </w:pPr>
          </w:p>
        </w:tc>
        <w:tc>
          <w:tcPr>
            <w:tcW w:w="1145" w:type="dxa"/>
            <w:noWrap w:val="0"/>
            <w:vAlign w:val="top"/>
          </w:tcPr>
          <w:p>
            <w:pPr>
              <w:jc w:val="center"/>
              <w:rPr>
                <w:rFonts w:ascii="宋体" w:hAnsi="宋体" w:cs="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672" w:type="dxa"/>
            <w:vMerge w:val="continue"/>
            <w:noWrap w:val="0"/>
            <w:vAlign w:val="center"/>
          </w:tcPr>
          <w:p>
            <w:pPr>
              <w:jc w:val="both"/>
              <w:rPr>
                <w:rFonts w:ascii="宋体" w:hAnsi="宋体" w:cs="宋体"/>
                <w:bCs/>
                <w:sz w:val="20"/>
              </w:rPr>
            </w:pPr>
          </w:p>
        </w:tc>
        <w:tc>
          <w:tcPr>
            <w:tcW w:w="1467" w:type="dxa"/>
            <w:vMerge w:val="continue"/>
            <w:noWrap w:val="0"/>
            <w:vAlign w:val="center"/>
          </w:tcPr>
          <w:p>
            <w:pPr>
              <w:jc w:val="center"/>
              <w:rPr>
                <w:rFonts w:ascii="宋体" w:hAnsi="宋体" w:cs="宋体"/>
                <w:bCs/>
                <w:sz w:val="20"/>
              </w:rPr>
            </w:pPr>
          </w:p>
        </w:tc>
        <w:tc>
          <w:tcPr>
            <w:tcW w:w="2280" w:type="dxa"/>
            <w:noWrap w:val="0"/>
            <w:vAlign w:val="center"/>
          </w:tcPr>
          <w:p>
            <w:pPr>
              <w:jc w:val="center"/>
              <w:rPr>
                <w:rFonts w:hint="eastAsia" w:ascii="宋体" w:hAnsi="宋体" w:eastAsia="宋体" w:cs="宋体"/>
                <w:bCs/>
                <w:kern w:val="2"/>
                <w:sz w:val="20"/>
                <w:lang w:val="en-US" w:eastAsia="zh-CN" w:bidi="ar-SA"/>
              </w:rPr>
            </w:pPr>
            <w:r>
              <w:rPr>
                <w:rFonts w:hint="eastAsia"/>
                <w:sz w:val="20"/>
                <w:szCs w:val="20"/>
              </w:rPr>
              <w:t>流动</w:t>
            </w:r>
            <w:r>
              <w:rPr>
                <w:rFonts w:hint="eastAsia"/>
                <w:sz w:val="20"/>
                <w:szCs w:val="20"/>
                <w:lang w:val="en-US" w:eastAsia="zh-CN"/>
              </w:rPr>
              <w:t>负债</w:t>
            </w:r>
          </w:p>
        </w:tc>
        <w:tc>
          <w:tcPr>
            <w:tcW w:w="1276" w:type="dxa"/>
            <w:noWrap w:val="0"/>
            <w:vAlign w:val="top"/>
          </w:tcPr>
          <w:p>
            <w:pPr>
              <w:jc w:val="center"/>
              <w:rPr>
                <w:rFonts w:hint="default" w:eastAsia="宋体"/>
                <w:b w:val="0"/>
                <w:bCs w:val="0"/>
                <w:sz w:val="20"/>
                <w:szCs w:val="20"/>
                <w:lang w:val="en-US" w:eastAsia="zh-CN"/>
              </w:rPr>
            </w:pPr>
            <w:r>
              <w:rPr>
                <w:rFonts w:hint="eastAsia"/>
                <w:b w:val="0"/>
                <w:bCs w:val="0"/>
                <w:sz w:val="20"/>
                <w:szCs w:val="20"/>
                <w:lang w:val="en-US" w:eastAsia="zh-CN"/>
              </w:rPr>
              <w:t>0.5</w:t>
            </w:r>
          </w:p>
        </w:tc>
        <w:tc>
          <w:tcPr>
            <w:tcW w:w="1179" w:type="dxa"/>
            <w:noWrap w:val="0"/>
            <w:vAlign w:val="top"/>
          </w:tcPr>
          <w:p>
            <w:pPr>
              <w:jc w:val="center"/>
              <w:rPr>
                <w:rFonts w:hint="default" w:eastAsia="宋体"/>
                <w:b w:val="0"/>
                <w:bCs w:val="0"/>
                <w:sz w:val="20"/>
                <w:szCs w:val="20"/>
                <w:lang w:val="en-US" w:eastAsia="zh-CN"/>
              </w:rPr>
            </w:pPr>
            <w:r>
              <w:rPr>
                <w:rFonts w:hint="eastAsia"/>
                <w:b w:val="0"/>
                <w:bCs w:val="0"/>
                <w:sz w:val="20"/>
                <w:szCs w:val="20"/>
                <w:lang w:val="en-US" w:eastAsia="zh-CN"/>
              </w:rPr>
              <w:t>0.5</w:t>
            </w:r>
          </w:p>
        </w:tc>
        <w:tc>
          <w:tcPr>
            <w:tcW w:w="1320" w:type="dxa"/>
            <w:noWrap w:val="0"/>
            <w:vAlign w:val="top"/>
          </w:tcPr>
          <w:p>
            <w:pPr>
              <w:jc w:val="center"/>
              <w:rPr>
                <w:b/>
                <w:bCs/>
                <w:sz w:val="20"/>
                <w:szCs w:val="20"/>
              </w:rPr>
            </w:pPr>
          </w:p>
        </w:tc>
        <w:tc>
          <w:tcPr>
            <w:tcW w:w="1145" w:type="dxa"/>
            <w:noWrap w:val="0"/>
            <w:vAlign w:val="top"/>
          </w:tcPr>
          <w:p>
            <w:pPr>
              <w:jc w:val="center"/>
              <w:rPr>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rPr>
        <w:tc>
          <w:tcPr>
            <w:tcW w:w="672" w:type="dxa"/>
            <w:vMerge w:val="continue"/>
            <w:noWrap w:val="0"/>
            <w:vAlign w:val="center"/>
          </w:tcPr>
          <w:p>
            <w:pPr>
              <w:jc w:val="both"/>
              <w:rPr>
                <w:rFonts w:ascii="宋体" w:hAnsi="宋体" w:cs="宋体"/>
                <w:bCs/>
                <w:sz w:val="20"/>
              </w:rPr>
            </w:pPr>
          </w:p>
        </w:tc>
        <w:tc>
          <w:tcPr>
            <w:tcW w:w="1467" w:type="dxa"/>
            <w:vMerge w:val="continue"/>
            <w:noWrap w:val="0"/>
            <w:vAlign w:val="center"/>
          </w:tcPr>
          <w:p>
            <w:pPr>
              <w:jc w:val="center"/>
              <w:rPr>
                <w:rFonts w:ascii="宋体" w:hAnsi="宋体" w:cs="宋体"/>
                <w:bCs/>
                <w:sz w:val="20"/>
              </w:rPr>
            </w:pPr>
          </w:p>
        </w:tc>
        <w:tc>
          <w:tcPr>
            <w:tcW w:w="2280" w:type="dxa"/>
            <w:noWrap w:val="0"/>
            <w:vAlign w:val="center"/>
          </w:tcPr>
          <w:p>
            <w:pPr>
              <w:jc w:val="center"/>
              <w:rPr>
                <w:rFonts w:hint="eastAsia" w:ascii="宋体" w:hAnsi="宋体" w:eastAsia="宋体" w:cs="宋体"/>
                <w:bCs/>
                <w:kern w:val="2"/>
                <w:sz w:val="20"/>
                <w:lang w:val="en-US" w:eastAsia="zh-CN" w:bidi="ar-SA"/>
              </w:rPr>
            </w:pPr>
            <w:r>
              <w:rPr>
                <w:rFonts w:hint="eastAsia"/>
                <w:sz w:val="20"/>
                <w:szCs w:val="20"/>
                <w:lang w:val="en-US" w:eastAsia="zh-CN"/>
              </w:rPr>
              <w:t>非</w:t>
            </w:r>
            <w:r>
              <w:rPr>
                <w:rFonts w:hint="eastAsia"/>
                <w:sz w:val="20"/>
                <w:szCs w:val="20"/>
              </w:rPr>
              <w:t>流动</w:t>
            </w:r>
            <w:r>
              <w:rPr>
                <w:rFonts w:hint="eastAsia"/>
                <w:sz w:val="20"/>
                <w:szCs w:val="20"/>
                <w:lang w:val="en-US" w:eastAsia="zh-CN"/>
              </w:rPr>
              <w:t>负债</w:t>
            </w:r>
          </w:p>
        </w:tc>
        <w:tc>
          <w:tcPr>
            <w:tcW w:w="1276" w:type="dxa"/>
            <w:noWrap w:val="0"/>
            <w:vAlign w:val="top"/>
          </w:tcPr>
          <w:p>
            <w:pPr>
              <w:jc w:val="center"/>
              <w:rPr>
                <w:b/>
                <w:bCs/>
                <w:sz w:val="20"/>
                <w:szCs w:val="20"/>
              </w:rPr>
            </w:pPr>
          </w:p>
        </w:tc>
        <w:tc>
          <w:tcPr>
            <w:tcW w:w="1179" w:type="dxa"/>
            <w:noWrap w:val="0"/>
            <w:vAlign w:val="top"/>
          </w:tcPr>
          <w:p>
            <w:pPr>
              <w:jc w:val="center"/>
              <w:rPr>
                <w:b/>
                <w:bCs/>
                <w:sz w:val="20"/>
                <w:szCs w:val="20"/>
              </w:rPr>
            </w:pPr>
          </w:p>
        </w:tc>
        <w:tc>
          <w:tcPr>
            <w:tcW w:w="1320" w:type="dxa"/>
            <w:noWrap w:val="0"/>
            <w:vAlign w:val="top"/>
          </w:tcPr>
          <w:p>
            <w:pPr>
              <w:jc w:val="center"/>
              <w:rPr>
                <w:b/>
                <w:bCs/>
                <w:sz w:val="20"/>
                <w:szCs w:val="20"/>
              </w:rPr>
            </w:pPr>
          </w:p>
        </w:tc>
        <w:tc>
          <w:tcPr>
            <w:tcW w:w="1145" w:type="dxa"/>
            <w:noWrap w:val="0"/>
            <w:vAlign w:val="top"/>
          </w:tcPr>
          <w:p>
            <w:pPr>
              <w:jc w:val="center"/>
              <w:rPr>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672" w:type="dxa"/>
            <w:vMerge w:val="continue"/>
            <w:noWrap w:val="0"/>
            <w:vAlign w:val="center"/>
          </w:tcPr>
          <w:p>
            <w:pPr>
              <w:jc w:val="both"/>
              <w:rPr>
                <w:rFonts w:ascii="宋体" w:hAnsi="宋体" w:cs="宋体"/>
                <w:bCs/>
                <w:sz w:val="20"/>
              </w:rPr>
            </w:pPr>
          </w:p>
        </w:tc>
        <w:tc>
          <w:tcPr>
            <w:tcW w:w="1467" w:type="dxa"/>
            <w:vMerge w:val="continue"/>
            <w:noWrap w:val="0"/>
            <w:vAlign w:val="center"/>
          </w:tcPr>
          <w:p>
            <w:pPr>
              <w:jc w:val="center"/>
              <w:rPr>
                <w:rFonts w:ascii="宋体" w:hAnsi="宋体" w:cs="宋体"/>
                <w:bCs/>
                <w:sz w:val="20"/>
              </w:rPr>
            </w:pPr>
          </w:p>
        </w:tc>
        <w:tc>
          <w:tcPr>
            <w:tcW w:w="2280" w:type="dxa"/>
            <w:noWrap w:val="0"/>
            <w:vAlign w:val="center"/>
          </w:tcPr>
          <w:p>
            <w:pPr>
              <w:jc w:val="center"/>
              <w:rPr>
                <w:rFonts w:hint="default" w:eastAsia="宋体"/>
                <w:lang w:val="en-US" w:eastAsia="zh-CN"/>
              </w:rPr>
            </w:pPr>
            <w:r>
              <w:rPr>
                <w:rFonts w:hint="eastAsia" w:ascii="Times New Roman" w:hAnsi="Times New Roman" w:eastAsia="宋体" w:cs="Times New Roman"/>
                <w:b/>
                <w:bCs/>
                <w:lang w:val="en-US" w:eastAsia="zh-CN"/>
              </w:rPr>
              <w:t>负债合计</w:t>
            </w:r>
          </w:p>
        </w:tc>
        <w:tc>
          <w:tcPr>
            <w:tcW w:w="1276" w:type="dxa"/>
            <w:noWrap w:val="0"/>
            <w:vAlign w:val="top"/>
          </w:tcPr>
          <w:p>
            <w:pPr>
              <w:jc w:val="center"/>
              <w:rPr>
                <w:rFonts w:hint="default" w:eastAsia="宋体"/>
                <w:b/>
                <w:bCs/>
                <w:sz w:val="20"/>
                <w:szCs w:val="20"/>
                <w:lang w:val="en-US" w:eastAsia="zh-CN"/>
              </w:rPr>
            </w:pPr>
            <w:r>
              <w:rPr>
                <w:rFonts w:hint="eastAsia" w:eastAsia="宋体"/>
                <w:b/>
                <w:bCs/>
                <w:sz w:val="20"/>
                <w:szCs w:val="20"/>
                <w:lang w:val="en-US" w:eastAsia="zh-CN"/>
              </w:rPr>
              <w:t>0.5</w:t>
            </w:r>
          </w:p>
        </w:tc>
        <w:tc>
          <w:tcPr>
            <w:tcW w:w="1179" w:type="dxa"/>
            <w:noWrap w:val="0"/>
            <w:vAlign w:val="top"/>
          </w:tcPr>
          <w:p>
            <w:pPr>
              <w:jc w:val="center"/>
              <w:rPr>
                <w:rFonts w:hint="default" w:eastAsia="宋体"/>
                <w:b/>
                <w:bCs/>
                <w:sz w:val="20"/>
                <w:szCs w:val="20"/>
                <w:lang w:val="en-US" w:eastAsia="zh-CN"/>
              </w:rPr>
            </w:pPr>
            <w:r>
              <w:rPr>
                <w:rFonts w:hint="eastAsia" w:eastAsia="宋体"/>
                <w:b/>
                <w:bCs/>
                <w:sz w:val="20"/>
                <w:szCs w:val="20"/>
                <w:lang w:val="en-US" w:eastAsia="zh-CN"/>
              </w:rPr>
              <w:t>0.5</w:t>
            </w:r>
          </w:p>
        </w:tc>
        <w:tc>
          <w:tcPr>
            <w:tcW w:w="1320" w:type="dxa"/>
            <w:noWrap w:val="0"/>
            <w:vAlign w:val="top"/>
          </w:tcPr>
          <w:p>
            <w:pPr>
              <w:jc w:val="center"/>
              <w:rPr>
                <w:b/>
                <w:bCs/>
                <w:sz w:val="20"/>
                <w:szCs w:val="20"/>
              </w:rPr>
            </w:pPr>
          </w:p>
        </w:tc>
        <w:tc>
          <w:tcPr>
            <w:tcW w:w="1145" w:type="dxa"/>
            <w:noWrap w:val="0"/>
            <w:vAlign w:val="top"/>
          </w:tcPr>
          <w:p>
            <w:pPr>
              <w:jc w:val="center"/>
              <w:rPr>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2" w:type="dxa"/>
            <w:vMerge w:val="continue"/>
            <w:noWrap w:val="0"/>
            <w:vAlign w:val="center"/>
          </w:tcPr>
          <w:p>
            <w:pPr>
              <w:jc w:val="both"/>
              <w:rPr>
                <w:rFonts w:ascii="宋体" w:hAnsi="宋体" w:cs="宋体"/>
                <w:bCs/>
                <w:sz w:val="20"/>
              </w:rPr>
            </w:pPr>
          </w:p>
        </w:tc>
        <w:tc>
          <w:tcPr>
            <w:tcW w:w="1467" w:type="dxa"/>
            <w:vMerge w:val="continue"/>
            <w:noWrap w:val="0"/>
            <w:vAlign w:val="center"/>
          </w:tcPr>
          <w:p>
            <w:pPr>
              <w:jc w:val="center"/>
              <w:rPr>
                <w:rFonts w:ascii="宋体" w:hAnsi="宋体" w:cs="宋体"/>
                <w:bCs/>
                <w:sz w:val="20"/>
              </w:rPr>
            </w:pPr>
          </w:p>
        </w:tc>
        <w:tc>
          <w:tcPr>
            <w:tcW w:w="2280" w:type="dxa"/>
            <w:noWrap w:val="0"/>
            <w:vAlign w:val="center"/>
          </w:tcPr>
          <w:p>
            <w:pPr>
              <w:jc w:val="center"/>
              <w:rPr>
                <w:rFonts w:hint="default" w:eastAsia="宋体"/>
                <w:lang w:val="en-US" w:eastAsia="zh-CN"/>
              </w:rPr>
            </w:pPr>
            <w:r>
              <w:rPr>
                <w:rFonts w:hint="eastAsia"/>
                <w:b/>
                <w:bCs/>
                <w:lang w:val="en-US" w:eastAsia="zh-CN"/>
              </w:rPr>
              <w:t>净资产（所有者权益</w:t>
            </w:r>
            <w:r>
              <w:rPr>
                <w:rFonts w:hint="eastAsia"/>
                <w:lang w:val="en-US" w:eastAsia="zh-CN"/>
              </w:rPr>
              <w:t>）</w:t>
            </w:r>
          </w:p>
        </w:tc>
        <w:tc>
          <w:tcPr>
            <w:tcW w:w="1276" w:type="dxa"/>
            <w:noWrap w:val="0"/>
            <w:vAlign w:val="top"/>
          </w:tcPr>
          <w:p>
            <w:pPr>
              <w:jc w:val="center"/>
              <w:rPr>
                <w:rFonts w:hint="default" w:eastAsia="宋体"/>
                <w:b/>
                <w:bCs/>
                <w:sz w:val="20"/>
                <w:szCs w:val="20"/>
                <w:lang w:val="en-US" w:eastAsia="zh-CN"/>
              </w:rPr>
            </w:pPr>
            <w:r>
              <w:rPr>
                <w:rFonts w:hint="eastAsia"/>
                <w:b/>
                <w:bCs/>
                <w:sz w:val="20"/>
                <w:szCs w:val="20"/>
                <w:lang w:val="en-US" w:eastAsia="zh-CN"/>
              </w:rPr>
              <w:t>-0.09</w:t>
            </w:r>
          </w:p>
        </w:tc>
        <w:tc>
          <w:tcPr>
            <w:tcW w:w="1179" w:type="dxa"/>
            <w:noWrap w:val="0"/>
            <w:vAlign w:val="top"/>
          </w:tcPr>
          <w:p>
            <w:pPr>
              <w:jc w:val="center"/>
              <w:rPr>
                <w:rFonts w:hint="default" w:eastAsia="宋体"/>
                <w:b/>
                <w:bCs/>
                <w:sz w:val="20"/>
                <w:szCs w:val="20"/>
                <w:lang w:val="en-US" w:eastAsia="zh-CN"/>
              </w:rPr>
            </w:pPr>
            <w:r>
              <w:rPr>
                <w:rFonts w:hint="eastAsia"/>
                <w:b/>
                <w:bCs/>
                <w:sz w:val="20"/>
                <w:szCs w:val="20"/>
                <w:lang w:val="en-US" w:eastAsia="zh-CN"/>
              </w:rPr>
              <w:t>-0.09</w:t>
            </w:r>
          </w:p>
        </w:tc>
        <w:tc>
          <w:tcPr>
            <w:tcW w:w="1320" w:type="dxa"/>
            <w:noWrap w:val="0"/>
            <w:vAlign w:val="top"/>
          </w:tcPr>
          <w:p>
            <w:pPr>
              <w:jc w:val="center"/>
              <w:rPr>
                <w:b/>
                <w:bCs/>
                <w:sz w:val="20"/>
                <w:szCs w:val="20"/>
              </w:rPr>
            </w:pPr>
          </w:p>
        </w:tc>
        <w:tc>
          <w:tcPr>
            <w:tcW w:w="1145" w:type="dxa"/>
            <w:noWrap w:val="0"/>
            <w:vAlign w:val="top"/>
          </w:tcPr>
          <w:p>
            <w:pPr>
              <w:jc w:val="center"/>
              <w:rPr>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rPr>
        <w:tc>
          <w:tcPr>
            <w:tcW w:w="672" w:type="dxa"/>
            <w:noWrap w:val="0"/>
            <w:vAlign w:val="center"/>
          </w:tcPr>
          <w:p>
            <w:pPr>
              <w:jc w:val="center"/>
              <w:rPr>
                <w:rFonts w:ascii="宋体" w:hAnsi="宋体" w:cs="宋体"/>
                <w:bCs/>
                <w:sz w:val="20"/>
              </w:rPr>
            </w:pPr>
            <w:r>
              <w:rPr>
                <w:rFonts w:hint="eastAsia" w:ascii="宋体" w:hAnsi="宋体" w:cs="宋体"/>
                <w:bCs/>
                <w:sz w:val="20"/>
              </w:rPr>
              <w:t>7</w:t>
            </w:r>
          </w:p>
        </w:tc>
        <w:tc>
          <w:tcPr>
            <w:tcW w:w="1467" w:type="dxa"/>
            <w:noWrap w:val="0"/>
            <w:vAlign w:val="center"/>
          </w:tcPr>
          <w:p>
            <w:pPr>
              <w:jc w:val="center"/>
              <w:rPr>
                <w:rFonts w:ascii="宋体" w:hAnsi="宋体" w:cs="宋体"/>
                <w:bCs/>
                <w:sz w:val="20"/>
              </w:rPr>
            </w:pPr>
            <w:r>
              <w:rPr>
                <w:rFonts w:hint="eastAsia" w:ascii="宋体" w:hAnsi="宋体" w:cs="宋体"/>
                <w:bCs/>
                <w:sz w:val="20"/>
              </w:rPr>
              <w:t>评估资料查阅</w:t>
            </w:r>
          </w:p>
          <w:p>
            <w:pPr>
              <w:jc w:val="center"/>
              <w:rPr>
                <w:rFonts w:ascii="宋体" w:hAnsi="宋体" w:cs="宋体"/>
                <w:bCs/>
                <w:sz w:val="20"/>
              </w:rPr>
            </w:pPr>
            <w:r>
              <w:rPr>
                <w:rFonts w:hint="eastAsia" w:ascii="宋体" w:hAnsi="宋体" w:cs="宋体"/>
                <w:bCs/>
                <w:sz w:val="20"/>
              </w:rPr>
              <w:t>方式</w:t>
            </w:r>
          </w:p>
        </w:tc>
        <w:tc>
          <w:tcPr>
            <w:tcW w:w="7200" w:type="dxa"/>
            <w:gridSpan w:val="5"/>
            <w:noWrap w:val="0"/>
            <w:vAlign w:val="center"/>
          </w:tcPr>
          <w:p>
            <w:pPr>
              <w:jc w:val="left"/>
              <w:rPr>
                <w:rFonts w:ascii="宋体" w:hAnsi="宋体" w:cs="宋体"/>
                <w:bCs/>
                <w:sz w:val="20"/>
              </w:rPr>
            </w:pPr>
            <w:r>
              <w:rPr>
                <w:rFonts w:hint="eastAsia" w:ascii="宋体" w:hAnsi="宋体" w:cs="宋体"/>
                <w:bCs/>
                <w:sz w:val="20"/>
              </w:rPr>
              <w:t>评估</w:t>
            </w:r>
            <w:r>
              <w:rPr>
                <w:rFonts w:hint="eastAsia" w:ascii="宋体" w:hAnsi="宋体" w:cs="宋体"/>
                <w:bCs/>
                <w:sz w:val="20"/>
                <w:lang w:val="en-US" w:eastAsia="zh-CN"/>
              </w:rPr>
              <w:t>决策依据</w:t>
            </w:r>
            <w:r>
              <w:rPr>
                <w:rFonts w:hint="eastAsia" w:ascii="宋体" w:hAnsi="宋体" w:cs="宋体"/>
                <w:bCs/>
                <w:sz w:val="20"/>
              </w:rPr>
              <w:t>、比选评估机构</w:t>
            </w:r>
            <w:r>
              <w:rPr>
                <w:rFonts w:hint="eastAsia" w:ascii="宋体" w:hAnsi="宋体" w:cs="宋体"/>
                <w:bCs/>
                <w:sz w:val="20"/>
                <w:lang w:val="en-US" w:eastAsia="zh-CN"/>
              </w:rPr>
              <w:t>资料及</w:t>
            </w:r>
            <w:r>
              <w:rPr>
                <w:rFonts w:hint="eastAsia" w:ascii="宋体" w:hAnsi="宋体" w:cs="宋体"/>
                <w:bCs/>
                <w:sz w:val="20"/>
              </w:rPr>
              <w:t>评估报告初稿纸质及电子资料在</w:t>
            </w:r>
            <w:r>
              <w:rPr>
                <w:rFonts w:hint="eastAsia" w:ascii="宋体" w:hAnsi="宋体" w:cs="宋体"/>
                <w:bCs/>
                <w:sz w:val="20"/>
                <w:lang w:val="en-US" w:eastAsia="zh-CN"/>
              </w:rPr>
              <w:t>中煤地第二勘探局集团有限责任公司资产财务部</w:t>
            </w:r>
            <w:r>
              <w:rPr>
                <w:rFonts w:hint="eastAsia" w:ascii="宋体" w:hAnsi="宋体" w:cs="宋体"/>
                <w:bCs/>
                <w:sz w:val="20"/>
              </w:rPr>
              <w:t>。</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758D7"/>
    <w:rsid w:val="4D875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2021-11-25T06:21:00Z</dcterms:created>
  <dc:creator>赵龙</dc:creator>
  <cp:lastModifiedBy>赵龙</cp:lastModifiedBy>
  <dcterms:modified xsi:type="dcterms:W3CDTF">2021-11-25T06:22:06Z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