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hint="eastAsia" w:ascii="宋体" w:hAnsi="宋体" w:cs="宋体"/>
          <w:bCs/>
          <w:sz w:val="20"/>
          <w:lang w:eastAsia="zh-CN"/>
        </w:rPr>
      </w:pPr>
      <w:r>
        <w:rPr>
          <w:rFonts w:hint="eastAsia" w:ascii="宋体" w:hAnsi="宋体" w:cs="宋体"/>
          <w:bCs/>
          <w:sz w:val="20"/>
        </w:rPr>
        <w:t>评估项目：</w:t>
      </w:r>
      <w:r>
        <w:rPr>
          <w:rFonts w:hint="eastAsia" w:ascii="宋体" w:hAnsi="宋体" w:cs="宋体"/>
          <w:bCs/>
          <w:sz w:val="20"/>
          <w:lang w:eastAsia="zh-CN"/>
        </w:rPr>
        <w:t>广州市融益建筑工程有限公司股东全部权益资产评估项目</w:t>
      </w:r>
    </w:p>
    <w:p>
      <w:pPr>
        <w:rPr>
          <w:rFonts w:ascii="宋体" w:hAnsi="宋体" w:cs="宋体"/>
          <w:bCs/>
          <w:sz w:val="20"/>
        </w:rPr>
      </w:pPr>
      <w:r>
        <w:rPr>
          <w:rFonts w:hint="eastAsia" w:ascii="宋体" w:hAnsi="宋体" w:cs="宋体"/>
          <w:bCs/>
          <w:sz w:val="20"/>
        </w:rPr>
        <w:t>公示期限：20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12</w:t>
      </w:r>
      <w:r>
        <w:rPr>
          <w:rFonts w:hint="eastAsia" w:ascii="宋体" w:hAnsi="宋体" w:cs="宋体"/>
          <w:bCs/>
          <w:sz w:val="20"/>
        </w:rPr>
        <w:t>月</w:t>
      </w:r>
      <w:r>
        <w:rPr>
          <w:rFonts w:hint="eastAsia" w:ascii="宋体" w:hAnsi="宋体" w:cs="宋体"/>
          <w:bCs/>
          <w:sz w:val="20"/>
          <w:lang w:val="en-US" w:eastAsia="zh-CN"/>
        </w:rPr>
        <w:t>27</w:t>
      </w:r>
      <w:r>
        <w:rPr>
          <w:rFonts w:hint="eastAsia" w:ascii="宋体" w:hAnsi="宋体" w:cs="宋体"/>
          <w:bCs/>
          <w:sz w:val="20"/>
        </w:rPr>
        <w:t>日至20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12</w:t>
      </w:r>
      <w:r>
        <w:rPr>
          <w:rFonts w:hint="eastAsia" w:ascii="宋体" w:hAnsi="宋体" w:cs="宋体"/>
          <w:bCs/>
          <w:sz w:val="20"/>
        </w:rPr>
        <w:t>月</w:t>
      </w:r>
      <w:r>
        <w:rPr>
          <w:rFonts w:hint="eastAsia" w:ascii="宋体" w:hAnsi="宋体" w:cs="宋体"/>
          <w:bCs/>
          <w:sz w:val="20"/>
          <w:lang w:val="en-US" w:eastAsia="zh-CN"/>
        </w:rPr>
        <w:t>31</w:t>
      </w:r>
      <w:r>
        <w:rPr>
          <w:rFonts w:hint="eastAsia" w:ascii="宋体" w:hAnsi="宋体" w:cs="宋体"/>
          <w:bCs/>
          <w:sz w:val="20"/>
        </w:rPr>
        <w:t>日</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67"/>
        <w:gridCol w:w="1295"/>
        <w:gridCol w:w="1210"/>
        <w:gridCol w:w="1460"/>
        <w:gridCol w:w="114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2" w:type="dxa"/>
            <w:noWrap w:val="0"/>
            <w:vAlign w:val="center"/>
          </w:tcPr>
          <w:p>
            <w:pPr>
              <w:jc w:val="center"/>
              <w:rPr>
                <w:rFonts w:ascii="宋体" w:hAnsi="宋体" w:cs="宋体"/>
                <w:bCs/>
                <w:sz w:val="20"/>
              </w:rPr>
            </w:pPr>
            <w:r>
              <w:rPr>
                <w:rFonts w:hint="eastAsia" w:ascii="宋体" w:hAnsi="宋体" w:cs="宋体"/>
                <w:bCs/>
                <w:sz w:val="20"/>
              </w:rPr>
              <w:t>序号</w:t>
            </w:r>
          </w:p>
        </w:tc>
        <w:tc>
          <w:tcPr>
            <w:tcW w:w="1467"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72" w:type="dxa"/>
            <w:noWrap w:val="0"/>
            <w:vAlign w:val="center"/>
          </w:tcPr>
          <w:p>
            <w:pPr>
              <w:jc w:val="center"/>
              <w:rPr>
                <w:rFonts w:ascii="宋体" w:hAnsi="宋体" w:cs="宋体"/>
                <w:bCs/>
                <w:sz w:val="20"/>
              </w:rPr>
            </w:pPr>
            <w:r>
              <w:rPr>
                <w:rFonts w:hint="eastAsia" w:ascii="宋体" w:hAnsi="宋体" w:cs="宋体"/>
                <w:bCs/>
                <w:sz w:val="20"/>
              </w:rPr>
              <w:t>1</w:t>
            </w:r>
          </w:p>
        </w:tc>
        <w:tc>
          <w:tcPr>
            <w:tcW w:w="1467"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381" w:type="dxa"/>
            <w:gridSpan w:val="5"/>
            <w:noWrap w:val="0"/>
            <w:vAlign w:val="center"/>
          </w:tcPr>
          <w:p>
            <w:pPr>
              <w:rPr>
                <w:rFonts w:ascii="宋体" w:hAnsi="宋体" w:cs="宋体"/>
                <w:bCs/>
                <w:sz w:val="20"/>
              </w:rPr>
            </w:pPr>
            <w:r>
              <w:rPr>
                <w:rFonts w:hint="eastAsia" w:ascii="宋体" w:hAnsi="宋体" w:cs="宋体"/>
                <w:bCs/>
                <w:sz w:val="20"/>
                <w:lang w:eastAsia="zh-CN"/>
              </w:rPr>
              <w:t>中煤江南建设发展集团有限公司</w:t>
            </w:r>
            <w:r>
              <w:rPr>
                <w:rFonts w:hint="eastAsia" w:ascii="宋体" w:hAnsi="宋体" w:cs="宋体"/>
                <w:bCs/>
                <w:sz w:val="20"/>
                <w:lang w:val="en-US" w:eastAsia="zh-CN"/>
              </w:rPr>
              <w:t>2021年第一次董事会会议决议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2" w:type="dxa"/>
            <w:noWrap w:val="0"/>
            <w:vAlign w:val="center"/>
          </w:tcPr>
          <w:p>
            <w:pPr>
              <w:jc w:val="center"/>
              <w:rPr>
                <w:rFonts w:ascii="宋体" w:hAnsi="宋体" w:cs="宋体"/>
                <w:bCs/>
                <w:sz w:val="20"/>
              </w:rPr>
            </w:pPr>
            <w:r>
              <w:rPr>
                <w:rFonts w:hint="eastAsia" w:ascii="宋体" w:hAnsi="宋体" w:cs="宋体"/>
                <w:bCs/>
                <w:sz w:val="20"/>
              </w:rPr>
              <w:t>2</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rPr>
                <w:rFonts w:ascii="宋体" w:hAnsi="宋体" w:cs="宋体"/>
                <w:bCs/>
                <w:sz w:val="20"/>
              </w:rPr>
            </w:pPr>
            <w:r>
              <w:rPr>
                <w:rFonts w:hint="eastAsia" w:ascii="宋体" w:hAnsi="宋体" w:cs="宋体"/>
                <w:bCs/>
                <w:sz w:val="20"/>
                <w:lang w:eastAsia="zh-CN"/>
              </w:rPr>
              <w:t>中煤江南建设发展集团有限公司按照询价比选的方式，按照相关程序，从</w:t>
            </w:r>
            <w:r>
              <w:rPr>
                <w:rFonts w:hint="eastAsia" w:ascii="宋体" w:hAnsi="宋体" w:cs="宋体"/>
                <w:bCs/>
                <w:sz w:val="20"/>
              </w:rPr>
              <w:t>总局评估机构备选库中</w:t>
            </w:r>
            <w:r>
              <w:rPr>
                <w:rFonts w:hint="eastAsia" w:ascii="宋体" w:hAnsi="宋体" w:cs="宋体"/>
                <w:bCs/>
                <w:sz w:val="20"/>
                <w:lang w:eastAsia="zh-CN"/>
              </w:rPr>
              <w:t>择优选择</w:t>
            </w:r>
            <w:r>
              <w:rPr>
                <w:rFonts w:hint="eastAsia" w:ascii="宋体" w:hAnsi="宋体" w:cs="宋体"/>
                <w:bCs/>
                <w:sz w:val="20"/>
              </w:rPr>
              <w:t>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72"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6381" w:type="dxa"/>
            <w:gridSpan w:val="5"/>
            <w:noWrap w:val="0"/>
            <w:vAlign w:val="center"/>
          </w:tcPr>
          <w:p>
            <w:pPr>
              <w:rPr>
                <w:rFonts w:hint="default" w:ascii="宋体" w:hAnsi="宋体" w:eastAsia="宋体" w:cs="宋体"/>
                <w:bCs/>
                <w:sz w:val="20"/>
                <w:lang w:val="en-US" w:eastAsia="zh-CN"/>
              </w:rPr>
            </w:pPr>
            <w:r>
              <w:rPr>
                <w:rFonts w:hint="eastAsia" w:ascii="宋体" w:hAnsi="宋体" w:cs="宋体"/>
                <w:bCs/>
                <w:sz w:val="20"/>
                <w:lang w:eastAsia="zh-CN"/>
              </w:rPr>
              <w:t>北京天健兴业资产评估有限公司</w:t>
            </w:r>
            <w:r>
              <w:rPr>
                <w:rFonts w:hint="eastAsia" w:ascii="宋体" w:hAnsi="宋体" w:cs="宋体"/>
                <w:bCs/>
                <w:sz w:val="20"/>
              </w:rPr>
              <w:t>：</w:t>
            </w:r>
            <w:r>
              <w:rPr>
                <w:rFonts w:hint="eastAsia" w:ascii="宋体" w:hAnsi="宋体" w:cs="宋体"/>
                <w:bCs/>
                <w:sz w:val="20"/>
                <w:lang w:eastAsia="zh-CN"/>
              </w:rPr>
              <w:t>郑陈武</w:t>
            </w:r>
            <w:r>
              <w:rPr>
                <w:rFonts w:hint="eastAsia" w:ascii="宋体" w:hAnsi="宋体" w:cs="宋体"/>
                <w:bCs/>
                <w:sz w:val="20"/>
                <w:lang w:val="en-US" w:eastAsia="zh-CN"/>
              </w:rPr>
              <w:t xml:space="preserve"> </w:t>
            </w:r>
            <w:r>
              <w:rPr>
                <w:rFonts w:hint="eastAsia" w:ascii="宋体" w:hAnsi="宋体" w:cs="宋体"/>
                <w:bCs/>
                <w:sz w:val="20"/>
                <w:lang w:eastAsia="zh-CN"/>
              </w:rPr>
              <w:t>47000260；王美容</w:t>
            </w:r>
            <w:r>
              <w:rPr>
                <w:rFonts w:hint="eastAsia" w:ascii="宋体" w:hAnsi="宋体" w:cs="宋体"/>
                <w:bCs/>
                <w:sz w:val="20"/>
                <w:lang w:val="en-US" w:eastAsia="zh-CN"/>
              </w:rPr>
              <w:t xml:space="preserve"> </w:t>
            </w:r>
            <w:r>
              <w:rPr>
                <w:rFonts w:hint="eastAsia" w:ascii="宋体" w:hAnsi="宋体" w:cs="宋体"/>
                <w:bCs/>
                <w:sz w:val="20"/>
                <w:lang w:eastAsia="zh-CN"/>
              </w:rPr>
              <w:t>47160002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72" w:type="dxa"/>
            <w:noWrap w:val="0"/>
            <w:vAlign w:val="center"/>
          </w:tcPr>
          <w:p>
            <w:pPr>
              <w:jc w:val="center"/>
              <w:rPr>
                <w:rFonts w:ascii="宋体" w:hAnsi="宋体" w:cs="宋体"/>
                <w:bCs/>
                <w:sz w:val="20"/>
              </w:rPr>
            </w:pPr>
            <w:r>
              <w:rPr>
                <w:rFonts w:hint="eastAsia" w:ascii="宋体" w:hAnsi="宋体" w:cs="宋体"/>
                <w:bCs/>
                <w:sz w:val="20"/>
              </w:rPr>
              <w:t>4</w:t>
            </w:r>
          </w:p>
        </w:tc>
        <w:tc>
          <w:tcPr>
            <w:tcW w:w="1467" w:type="dxa"/>
            <w:noWrap w:val="0"/>
            <w:vAlign w:val="center"/>
          </w:tcPr>
          <w:p>
            <w:pPr>
              <w:jc w:val="center"/>
              <w:rPr>
                <w:rFonts w:ascii="宋体" w:hAnsi="宋体" w:cs="宋体"/>
                <w:bCs/>
                <w:sz w:val="20"/>
              </w:rPr>
            </w:pPr>
            <w:r>
              <w:rPr>
                <w:rFonts w:hint="eastAsia" w:ascii="宋体" w:hAnsi="宋体" w:cs="宋体"/>
                <w:bCs/>
                <w:sz w:val="20"/>
              </w:rPr>
              <w:t>评估程序履行及审核情况</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lang w:eastAsia="zh-CN"/>
              </w:rPr>
              <w:t>中煤江南建设发展集团有限公司选聘北京天健兴业资产评估有限公司对广州市融益建筑工程有限公司股东全部权益开展评估工作，并由中国煤炭地质总局委托专家对评估报告初稿进行了审核并出具了审核意见，直至审核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4" w:hRule="atLeast"/>
        </w:trPr>
        <w:tc>
          <w:tcPr>
            <w:tcW w:w="672" w:type="dxa"/>
            <w:noWrap w:val="0"/>
            <w:vAlign w:val="center"/>
          </w:tcPr>
          <w:p>
            <w:pPr>
              <w:jc w:val="center"/>
              <w:rPr>
                <w:rFonts w:ascii="宋体" w:hAnsi="宋体" w:cs="宋体"/>
                <w:bCs/>
                <w:sz w:val="20"/>
              </w:rPr>
            </w:pPr>
            <w:r>
              <w:rPr>
                <w:rFonts w:hint="eastAsia" w:ascii="宋体" w:hAnsi="宋体" w:cs="宋体"/>
                <w:bCs/>
                <w:sz w:val="20"/>
              </w:rPr>
              <w:t>5</w:t>
            </w:r>
          </w:p>
        </w:tc>
        <w:tc>
          <w:tcPr>
            <w:tcW w:w="1467"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rPr>
              <w:t>评估报告摘要</w:t>
            </w:r>
            <w:r>
              <w:rPr>
                <w:rFonts w:hint="eastAsia" w:ascii="宋体" w:hAnsi="宋体" w:cs="宋体"/>
                <w:bCs/>
                <w:sz w:val="20"/>
                <w:lang w:eastAsia="zh-CN"/>
              </w:rPr>
              <w:t>：北京天健兴业资产评估有限公司接受贵公司委托，根据有关法律法规和资产评估准则，采用资产基础法和市场法，按照必要的评估程序，对中煤江南建设发展集团有限公司拟收购广州市融益建筑工程有限公司股权而涉及该公司股东全部权益在</w:t>
            </w:r>
            <w:r>
              <w:rPr>
                <w:rFonts w:hint="eastAsia" w:ascii="宋体" w:hAnsi="宋体" w:cs="宋体"/>
                <w:bCs/>
                <w:sz w:val="20"/>
                <w:lang w:val="en-US" w:eastAsia="zh-CN"/>
              </w:rPr>
              <w:t>2020年12月31日的市场价值进行了评估</w:t>
            </w:r>
            <w:r>
              <w:rPr>
                <w:rFonts w:ascii="宋体" w:hAnsi="宋体" w:cs="宋体"/>
                <w:bCs/>
                <w:sz w:val="20"/>
              </w:rPr>
              <w:t>。</w:t>
            </w:r>
            <w:r>
              <w:rPr>
                <w:rFonts w:hint="eastAsia" w:ascii="宋体" w:hAnsi="宋体" w:cs="宋体"/>
                <w:bCs/>
                <w:sz w:val="20"/>
              </w:rPr>
              <w:t>评估对象是</w:t>
            </w:r>
            <w:r>
              <w:rPr>
                <w:rFonts w:hint="eastAsia" w:ascii="宋体" w:hAnsi="宋体" w:cs="宋体"/>
                <w:bCs/>
                <w:sz w:val="20"/>
                <w:lang w:eastAsia="zh-CN"/>
              </w:rPr>
              <w:t>广州市融益建筑工程有限公司股东全部权益</w:t>
            </w:r>
            <w:r>
              <w:rPr>
                <w:rFonts w:hint="eastAsia" w:ascii="宋体" w:hAnsi="宋体" w:cs="宋体"/>
                <w:bCs/>
                <w:sz w:val="20"/>
              </w:rPr>
              <w:t>，评估范围包括</w:t>
            </w:r>
            <w:r>
              <w:rPr>
                <w:rFonts w:hint="eastAsia" w:ascii="宋体" w:hAnsi="宋体" w:cs="宋体"/>
                <w:bCs/>
                <w:sz w:val="20"/>
                <w:lang w:eastAsia="zh-CN"/>
              </w:rPr>
              <w:t>广州市融益建筑工程有限公司经审计后的整体资产，包括全部资产和相关负债</w:t>
            </w:r>
            <w:r>
              <w:rPr>
                <w:rFonts w:hint="eastAsia" w:ascii="宋体" w:hAnsi="宋体" w:cs="宋体"/>
                <w:bCs/>
                <w:sz w:val="20"/>
              </w:rPr>
              <w:t>。</w:t>
            </w:r>
            <w:r>
              <w:rPr>
                <w:rFonts w:hint="eastAsia" w:ascii="宋体" w:hAnsi="宋体" w:cs="宋体"/>
                <w:bCs/>
                <w:sz w:val="20"/>
                <w:lang w:eastAsia="zh-CN"/>
              </w:rPr>
              <w:t>经分析选取市场评估结果作为评估结论。经评估广州市融益建筑工程有限公司股东全部权益价值为</w:t>
            </w:r>
            <w:r>
              <w:rPr>
                <w:rFonts w:hint="eastAsia" w:ascii="宋体" w:hAnsi="宋体" w:cs="宋体"/>
                <w:bCs/>
                <w:sz w:val="20"/>
                <w:lang w:val="en-US" w:eastAsia="zh-CN"/>
              </w:rPr>
              <w:t>1万元，评估增值1.37万元，增值率370.27%。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2"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467"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（单位：万元）</w:t>
            </w:r>
          </w:p>
        </w:tc>
        <w:tc>
          <w:tcPr>
            <w:tcW w:w="1295" w:type="dxa"/>
            <w:noWrap w:val="0"/>
            <w:vAlign w:val="center"/>
          </w:tcPr>
          <w:p>
            <w:pPr>
              <w:jc w:val="center"/>
              <w:rPr>
                <w:rFonts w:ascii="宋体" w:hAnsi="宋体" w:cs="宋体"/>
                <w:bCs/>
                <w:sz w:val="20"/>
              </w:rPr>
            </w:pPr>
            <w:r>
              <w:rPr>
                <w:rFonts w:hint="eastAsia" w:ascii="宋体" w:hAnsi="宋体" w:cs="宋体"/>
                <w:bCs/>
                <w:sz w:val="20"/>
              </w:rPr>
              <w:t>项  目</w:t>
            </w:r>
          </w:p>
        </w:tc>
        <w:tc>
          <w:tcPr>
            <w:tcW w:w="1210" w:type="dxa"/>
            <w:noWrap w:val="0"/>
            <w:vAlign w:val="center"/>
          </w:tcPr>
          <w:p>
            <w:pPr>
              <w:jc w:val="center"/>
              <w:rPr>
                <w:rFonts w:ascii="宋体" w:hAnsi="宋体" w:cs="宋体"/>
                <w:bCs/>
                <w:sz w:val="20"/>
              </w:rPr>
            </w:pPr>
            <w:r>
              <w:rPr>
                <w:rFonts w:hint="eastAsia" w:ascii="宋体" w:hAnsi="宋体" w:cs="宋体"/>
                <w:bCs/>
                <w:sz w:val="20"/>
              </w:rPr>
              <w:t>账面价值</w:t>
            </w:r>
          </w:p>
        </w:tc>
        <w:tc>
          <w:tcPr>
            <w:tcW w:w="1460" w:type="dxa"/>
            <w:noWrap w:val="0"/>
            <w:vAlign w:val="center"/>
          </w:tcPr>
          <w:p>
            <w:pPr>
              <w:jc w:val="center"/>
              <w:rPr>
                <w:rFonts w:hint="eastAsia" w:ascii="宋体" w:hAnsi="宋体" w:eastAsia="宋体" w:cs="宋体"/>
                <w:bCs/>
                <w:sz w:val="20"/>
                <w:lang w:eastAsia="zh-CN"/>
              </w:rPr>
            </w:pPr>
            <w:r>
              <w:rPr>
                <w:rFonts w:hint="eastAsia" w:ascii="宋体" w:hAnsi="宋体" w:cs="宋体"/>
                <w:bCs/>
                <w:sz w:val="20"/>
              </w:rPr>
              <w:t>评估值</w:t>
            </w:r>
            <w:r>
              <w:rPr>
                <w:rFonts w:hint="eastAsia" w:ascii="宋体" w:hAnsi="宋体" w:cs="宋体"/>
                <w:bCs/>
                <w:sz w:val="20"/>
                <w:lang w:eastAsia="zh-CN"/>
              </w:rPr>
              <w:t>（</w:t>
            </w:r>
            <w:r>
              <w:rPr>
                <w:rFonts w:hint="eastAsia" w:ascii="宋体" w:hAnsi="宋体" w:cs="宋体"/>
                <w:bCs/>
                <w:sz w:val="20"/>
                <w:lang w:val="en-US" w:eastAsia="zh-CN"/>
              </w:rPr>
              <w:t>含税</w:t>
            </w:r>
            <w:r>
              <w:rPr>
                <w:rFonts w:hint="eastAsia" w:ascii="宋体" w:hAnsi="宋体" w:cs="宋体"/>
                <w:bCs/>
                <w:sz w:val="20"/>
                <w:lang w:eastAsia="zh-CN"/>
              </w:rPr>
              <w:t>）</w:t>
            </w:r>
          </w:p>
        </w:tc>
        <w:tc>
          <w:tcPr>
            <w:tcW w:w="1146" w:type="dxa"/>
            <w:noWrap w:val="0"/>
            <w:vAlign w:val="center"/>
          </w:tcPr>
          <w:p>
            <w:pPr>
              <w:jc w:val="center"/>
              <w:rPr>
                <w:rFonts w:ascii="宋体" w:hAnsi="宋体" w:cs="宋体"/>
                <w:bCs/>
                <w:sz w:val="20"/>
              </w:rPr>
            </w:pPr>
            <w:r>
              <w:rPr>
                <w:rFonts w:hint="eastAsia" w:ascii="宋体" w:hAnsi="宋体" w:cs="宋体"/>
                <w:bCs/>
                <w:sz w:val="20"/>
              </w:rPr>
              <w:t>增值额</w:t>
            </w:r>
          </w:p>
        </w:tc>
        <w:tc>
          <w:tcPr>
            <w:tcW w:w="1270"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hint="eastAsia" w:ascii="宋体" w:hAnsi="宋体" w:eastAsia="宋体" w:cs="宋体"/>
                <w:bCs/>
                <w:sz w:val="20"/>
                <w:lang w:eastAsia="zh-CN"/>
              </w:rPr>
            </w:pPr>
            <w:r>
              <w:rPr>
                <w:rFonts w:hint="eastAsia"/>
                <w:sz w:val="20"/>
                <w:szCs w:val="20"/>
                <w:lang w:eastAsia="zh-CN"/>
              </w:rPr>
              <w:t>资产总计</w:t>
            </w:r>
          </w:p>
        </w:tc>
        <w:tc>
          <w:tcPr>
            <w:tcW w:w="1210" w:type="dxa"/>
            <w:noWrap w:val="0"/>
            <w:vAlign w:val="top"/>
          </w:tcPr>
          <w:p>
            <w:pPr>
              <w:jc w:val="center"/>
              <w:rPr>
                <w:rFonts w:hint="default" w:ascii="宋体" w:hAnsi="宋体" w:cs="宋体"/>
                <w:bCs/>
                <w:sz w:val="20"/>
                <w:lang w:val="en-US" w:eastAsia="zh-CN"/>
              </w:rPr>
            </w:pPr>
            <w:r>
              <w:rPr>
                <w:rFonts w:hint="eastAsia" w:ascii="宋体" w:hAnsi="宋体" w:cs="宋体"/>
                <w:bCs/>
                <w:sz w:val="20"/>
                <w:lang w:val="en-US" w:eastAsia="zh-CN"/>
              </w:rPr>
              <w:t>-</w:t>
            </w:r>
          </w:p>
        </w:tc>
        <w:tc>
          <w:tcPr>
            <w:tcW w:w="1460" w:type="dxa"/>
            <w:noWrap w:val="0"/>
            <w:vAlign w:val="top"/>
          </w:tcPr>
          <w:p>
            <w:pPr>
              <w:jc w:val="center"/>
              <w:rPr>
                <w:rFonts w:hint="default" w:ascii="宋体" w:hAnsi="宋体" w:cs="宋体"/>
                <w:bCs/>
                <w:sz w:val="20"/>
                <w:lang w:val="en-US" w:eastAsia="zh-CN"/>
              </w:rPr>
            </w:pPr>
            <w:r>
              <w:rPr>
                <w:rFonts w:hint="eastAsia" w:ascii="宋体" w:hAnsi="宋体" w:cs="宋体"/>
                <w:bCs/>
                <w:sz w:val="20"/>
                <w:lang w:val="en-US" w:eastAsia="zh-CN"/>
              </w:rPr>
              <w:t>-</w:t>
            </w:r>
          </w:p>
        </w:tc>
        <w:tc>
          <w:tcPr>
            <w:tcW w:w="1146" w:type="dxa"/>
            <w:noWrap w:val="0"/>
            <w:vAlign w:val="top"/>
          </w:tcPr>
          <w:p>
            <w:pPr>
              <w:jc w:val="center"/>
              <w:rPr>
                <w:rFonts w:hint="default" w:ascii="宋体" w:hAnsi="宋体" w:cs="宋体"/>
                <w:bCs/>
                <w:sz w:val="20"/>
                <w:lang w:val="en-US" w:eastAsia="zh-CN"/>
              </w:rPr>
            </w:pPr>
            <w:r>
              <w:rPr>
                <w:rFonts w:hint="eastAsia" w:ascii="宋体" w:hAnsi="宋体" w:cs="宋体"/>
                <w:bCs/>
                <w:sz w:val="20"/>
                <w:lang w:val="en-US" w:eastAsia="zh-CN"/>
              </w:rPr>
              <w:t>-</w:t>
            </w:r>
          </w:p>
        </w:tc>
        <w:tc>
          <w:tcPr>
            <w:tcW w:w="1270" w:type="dxa"/>
            <w:noWrap w:val="0"/>
            <w:vAlign w:val="top"/>
          </w:tcPr>
          <w:p>
            <w:pPr>
              <w:jc w:val="center"/>
              <w:rPr>
                <w:rFonts w:hint="default" w:ascii="宋体" w:hAnsi="宋体" w:cs="宋体"/>
                <w:bCs/>
                <w:sz w:val="20"/>
                <w:lang w:val="en-US" w:eastAsia="zh-CN"/>
              </w:rPr>
            </w:pPr>
            <w:r>
              <w:rPr>
                <w:rFonts w:hint="eastAsia" w:ascii="宋体" w:hAnsi="宋体" w:cs="宋体"/>
                <w:bCs/>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hint="eastAsia" w:ascii="宋体" w:hAnsi="宋体" w:eastAsia="宋体" w:cs="宋体"/>
                <w:bCs/>
                <w:sz w:val="20"/>
                <w:lang w:val="en-US" w:eastAsia="zh-CN"/>
              </w:rPr>
            </w:pPr>
            <w:r>
              <w:rPr>
                <w:rFonts w:hint="eastAsia" w:eastAsia="宋体"/>
                <w:sz w:val="20"/>
                <w:szCs w:val="20"/>
                <w:lang w:eastAsia="zh-CN"/>
              </w:rPr>
              <w:t>负债总计</w:t>
            </w:r>
          </w:p>
        </w:tc>
        <w:tc>
          <w:tcPr>
            <w:tcW w:w="1210" w:type="dxa"/>
            <w:noWrap w:val="0"/>
            <w:vAlign w:val="top"/>
          </w:tcPr>
          <w:p>
            <w:pPr>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0.37</w:t>
            </w:r>
          </w:p>
        </w:tc>
        <w:tc>
          <w:tcPr>
            <w:tcW w:w="1460" w:type="dxa"/>
            <w:noWrap w:val="0"/>
            <w:vAlign w:val="top"/>
          </w:tcPr>
          <w:p>
            <w:pPr>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w:t>
            </w:r>
          </w:p>
        </w:tc>
        <w:tc>
          <w:tcPr>
            <w:tcW w:w="1146" w:type="dxa"/>
            <w:noWrap w:val="0"/>
            <w:vAlign w:val="top"/>
          </w:tcPr>
          <w:p>
            <w:pPr>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w:t>
            </w:r>
          </w:p>
        </w:tc>
        <w:tc>
          <w:tcPr>
            <w:tcW w:w="1270" w:type="dxa"/>
            <w:noWrap w:val="0"/>
            <w:vAlign w:val="top"/>
          </w:tcPr>
          <w:p>
            <w:pPr>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outlineLvl w:val="0"/>
              <w:rPr>
                <w:rFonts w:hint="default" w:ascii="宋体" w:hAnsi="宋体" w:cs="宋体"/>
                <w:bCs/>
                <w:sz w:val="20"/>
                <w:lang w:val="en-US" w:eastAsia="zh-CN"/>
              </w:rPr>
            </w:pPr>
            <w:r>
              <w:rPr>
                <w:rFonts w:hint="eastAsia" w:ascii="宋体" w:hAnsi="宋体" w:cs="宋体"/>
                <w:bCs/>
                <w:sz w:val="20"/>
                <w:lang w:val="en-US" w:eastAsia="zh-CN"/>
              </w:rPr>
              <w:t>净资产</w:t>
            </w:r>
          </w:p>
        </w:tc>
        <w:tc>
          <w:tcPr>
            <w:tcW w:w="1210" w:type="dxa"/>
            <w:noWrap w:val="0"/>
            <w:vAlign w:val="top"/>
          </w:tcPr>
          <w:p>
            <w:pPr>
              <w:jc w:val="center"/>
              <w:rPr>
                <w:rFonts w:hint="eastAsia" w:ascii="宋体" w:hAnsi="宋体" w:cs="宋体"/>
                <w:bCs/>
                <w:sz w:val="20"/>
                <w:lang w:val="en-US" w:eastAsia="zh-CN"/>
              </w:rPr>
            </w:pPr>
            <w:r>
              <w:rPr>
                <w:rFonts w:hint="eastAsia" w:ascii="宋体" w:hAnsi="宋体" w:cs="宋体"/>
                <w:bCs/>
                <w:sz w:val="20"/>
                <w:lang w:val="en-US" w:eastAsia="zh-CN"/>
              </w:rPr>
              <w:t>-0.37</w:t>
            </w:r>
          </w:p>
        </w:tc>
        <w:tc>
          <w:tcPr>
            <w:tcW w:w="1460" w:type="dxa"/>
            <w:noWrap w:val="0"/>
            <w:vAlign w:val="top"/>
          </w:tcPr>
          <w:p>
            <w:pPr>
              <w:jc w:val="center"/>
              <w:rPr>
                <w:rFonts w:hint="eastAsia" w:ascii="宋体" w:hAnsi="宋体" w:cs="宋体"/>
                <w:bCs/>
                <w:sz w:val="20"/>
                <w:lang w:val="en-US" w:eastAsia="zh-CN"/>
              </w:rPr>
            </w:pPr>
            <w:r>
              <w:rPr>
                <w:rFonts w:hint="eastAsia" w:ascii="宋体" w:hAnsi="宋体" w:cs="宋体"/>
                <w:bCs/>
                <w:sz w:val="20"/>
                <w:lang w:val="en-US" w:eastAsia="zh-CN"/>
              </w:rPr>
              <w:t>1</w:t>
            </w:r>
          </w:p>
        </w:tc>
        <w:tc>
          <w:tcPr>
            <w:tcW w:w="1146" w:type="dxa"/>
            <w:noWrap w:val="0"/>
            <w:vAlign w:val="top"/>
          </w:tcPr>
          <w:p>
            <w:pPr>
              <w:jc w:val="center"/>
              <w:rPr>
                <w:rFonts w:hint="eastAsia" w:ascii="宋体" w:hAnsi="宋体" w:cs="宋体"/>
                <w:bCs/>
                <w:sz w:val="20"/>
                <w:lang w:val="en-US" w:eastAsia="zh-CN"/>
              </w:rPr>
            </w:pPr>
            <w:r>
              <w:rPr>
                <w:rFonts w:hint="eastAsia" w:ascii="宋体" w:hAnsi="宋体" w:cs="宋体"/>
                <w:bCs/>
                <w:sz w:val="20"/>
                <w:lang w:val="en-US" w:eastAsia="zh-CN"/>
              </w:rPr>
              <w:t>1.37</w:t>
            </w:r>
          </w:p>
        </w:tc>
        <w:tc>
          <w:tcPr>
            <w:tcW w:w="1270" w:type="dxa"/>
            <w:noWrap w:val="0"/>
            <w:vAlign w:val="top"/>
          </w:tcPr>
          <w:p>
            <w:pPr>
              <w:jc w:val="center"/>
              <w:rPr>
                <w:rFonts w:hint="eastAsia" w:ascii="宋体" w:hAnsi="宋体" w:cs="宋体"/>
                <w:bCs/>
                <w:sz w:val="20"/>
                <w:lang w:val="en-US" w:eastAsia="zh-CN"/>
              </w:rPr>
            </w:pPr>
            <w:r>
              <w:rPr>
                <w:rFonts w:hint="eastAsia" w:ascii="宋体" w:hAnsi="宋体" w:cs="宋体"/>
                <w:bCs/>
                <w:sz w:val="20"/>
                <w:lang w:val="en-US" w:eastAsia="zh-CN"/>
              </w:rPr>
              <w:t>370.27%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hint="default" w:ascii="宋体" w:hAnsi="宋体" w:eastAsia="宋体" w:cs="宋体"/>
                <w:bCs/>
                <w:sz w:val="20"/>
                <w:lang w:val="en-US" w:eastAsia="zh-CN"/>
              </w:rPr>
            </w:pPr>
          </w:p>
        </w:tc>
        <w:tc>
          <w:tcPr>
            <w:tcW w:w="1210" w:type="dxa"/>
            <w:noWrap w:val="0"/>
            <w:vAlign w:val="top"/>
          </w:tcPr>
          <w:p>
            <w:pPr>
              <w:jc w:val="center"/>
              <w:rPr>
                <w:rFonts w:ascii="宋体" w:hAnsi="宋体" w:cs="宋体"/>
                <w:bCs/>
                <w:sz w:val="20"/>
              </w:rPr>
            </w:pPr>
          </w:p>
        </w:tc>
        <w:tc>
          <w:tcPr>
            <w:tcW w:w="1460" w:type="dxa"/>
            <w:noWrap w:val="0"/>
            <w:vAlign w:val="top"/>
          </w:tcPr>
          <w:p>
            <w:pPr>
              <w:jc w:val="center"/>
              <w:rPr>
                <w:rFonts w:ascii="宋体" w:hAnsi="宋体" w:cs="宋体"/>
                <w:bCs/>
                <w:sz w:val="20"/>
              </w:rPr>
            </w:pPr>
          </w:p>
        </w:tc>
        <w:tc>
          <w:tcPr>
            <w:tcW w:w="1146" w:type="dxa"/>
            <w:noWrap w:val="0"/>
            <w:vAlign w:val="top"/>
          </w:tcPr>
          <w:p>
            <w:pPr>
              <w:jc w:val="center"/>
              <w:rPr>
                <w:rFonts w:ascii="宋体" w:hAnsi="宋体" w:cs="宋体"/>
                <w:bCs/>
                <w:sz w:val="20"/>
              </w:rPr>
            </w:pPr>
          </w:p>
        </w:tc>
        <w:tc>
          <w:tcPr>
            <w:tcW w:w="1270" w:type="dxa"/>
            <w:noWrap w:val="0"/>
            <w:vAlign w:val="top"/>
          </w:tcPr>
          <w:p>
            <w:pPr>
              <w:jc w:val="center"/>
              <w:rPr>
                <w:rFonts w:ascii="宋体" w:hAnsi="宋体" w:cs="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672" w:type="dxa"/>
            <w:noWrap w:val="0"/>
            <w:vAlign w:val="center"/>
          </w:tcPr>
          <w:p>
            <w:pPr>
              <w:jc w:val="center"/>
              <w:rPr>
                <w:rFonts w:ascii="宋体" w:hAnsi="宋体" w:cs="宋体"/>
                <w:bCs/>
                <w:sz w:val="20"/>
              </w:rPr>
            </w:pPr>
            <w:r>
              <w:rPr>
                <w:rFonts w:hint="eastAsia" w:ascii="宋体" w:hAnsi="宋体" w:cs="宋体"/>
                <w:bCs/>
                <w:sz w:val="20"/>
              </w:rPr>
              <w:t>7</w:t>
            </w:r>
          </w:p>
        </w:tc>
        <w:tc>
          <w:tcPr>
            <w:tcW w:w="1467"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w:t>
            </w:r>
            <w:r>
              <w:rPr>
                <w:rFonts w:hint="eastAsia" w:ascii="宋体" w:hAnsi="宋体" w:cs="宋体"/>
                <w:bCs/>
                <w:sz w:val="20"/>
                <w:lang w:val="en-US" w:eastAsia="zh-CN"/>
              </w:rPr>
              <w:t>决策依据</w:t>
            </w:r>
            <w:r>
              <w:rPr>
                <w:rFonts w:hint="eastAsia" w:ascii="宋体" w:hAnsi="宋体" w:cs="宋体"/>
                <w:bCs/>
                <w:sz w:val="20"/>
              </w:rPr>
              <w:t>、比选评估机构</w:t>
            </w:r>
            <w:r>
              <w:rPr>
                <w:rFonts w:hint="eastAsia" w:ascii="宋体" w:hAnsi="宋体" w:cs="宋体"/>
                <w:bCs/>
                <w:sz w:val="20"/>
                <w:lang w:val="en-US" w:eastAsia="zh-CN"/>
              </w:rPr>
              <w:t>资料及</w:t>
            </w:r>
            <w:r>
              <w:rPr>
                <w:rFonts w:hint="eastAsia" w:ascii="宋体" w:hAnsi="宋体" w:cs="宋体"/>
                <w:bCs/>
                <w:sz w:val="20"/>
              </w:rPr>
              <w:t>评估报告初稿纸质及电子资料在</w:t>
            </w:r>
            <w:r>
              <w:rPr>
                <w:rFonts w:hint="eastAsia" w:ascii="宋体" w:hAnsi="宋体" w:cs="宋体"/>
                <w:bCs/>
                <w:sz w:val="20"/>
                <w:lang w:val="en-US" w:eastAsia="zh-CN"/>
              </w:rPr>
              <w:t>中国煤炭地质总局资产财务部</w:t>
            </w:r>
            <w:r>
              <w:rPr>
                <w:rFonts w:hint="eastAsia" w:ascii="宋体" w:hAnsi="宋体" w:cs="宋体"/>
                <w:bCs/>
                <w:sz w:val="20"/>
              </w:rPr>
              <w:t>。</w:t>
            </w:r>
          </w:p>
        </w:tc>
      </w:tr>
    </w:tbl>
    <w:p>
      <w:pPr>
        <w:rPr>
          <w:rFonts w:hint="eastAsia" w:ascii="宋体" w:hAnsi="宋体" w:cs="宋体"/>
          <w:bCs/>
          <w:sz w:val="20"/>
        </w:rPr>
      </w:pPr>
    </w:p>
    <w:p>
      <w:pPr>
        <w:rPr>
          <w:rFonts w:hint="eastAsia" w:ascii="宋体" w:hAnsi="宋体" w:cs="宋体"/>
          <w:bCs/>
          <w:sz w:val="20"/>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D2829"/>
    <w:rsid w:val="582D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2021-12-27T09:11:00Z</dcterms:created>
  <dc:creator>赵龙</dc:creator>
  <cp:lastModifiedBy>赵龙</cp:lastModifiedBy>
  <dcterms:modified xsi:type="dcterms:W3CDTF">2021-12-27T09:11:47Z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