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54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（六）地勘矿业部矿业权处矿业权管理岗</w:t>
      </w:r>
    </w:p>
    <w:p w14:paraId="19611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岗位职责</w:t>
      </w:r>
    </w:p>
    <w:p w14:paraId="68FC1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1.具体组织总局系统矿业权申请、维护、权证办理、转让盘活、退出等全生命周期管理工作，负责总局矿业权统计，建立并更新台账。</w:t>
      </w:r>
    </w:p>
    <w:p w14:paraId="2FDA3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2.组织或配合开展矿业权资源潜力评价、技术论证等工作，实行“一矿一策”，制定盘活措施，提供决策建议。</w:t>
      </w:r>
    </w:p>
    <w:p w14:paraId="05ABD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3.跟踪、获取国内外矿业权信息，进行资料收集、筛选和分析，组织对总局意向项目开展地质考察、储量核实、技术论证。</w:t>
      </w:r>
    </w:p>
    <w:p w14:paraId="246BF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4.负责矿业权相关政策法规研究。</w:t>
      </w:r>
    </w:p>
    <w:p w14:paraId="0095FA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任职条件</w:t>
      </w:r>
    </w:p>
    <w:p w14:paraId="5D5F076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1.全日制硕士及以上学历，具有中级及以上技术职称，从事地质勘查、矿业权管理及矿业权评估业务3年以上相关工作经验，具有矿业权评估师资质者优先。</w:t>
      </w:r>
    </w:p>
    <w:p w14:paraId="76AFA4F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2.具有较强的服务意识和团队协作意识。</w:t>
      </w:r>
    </w:p>
    <w:p w14:paraId="1B29E1B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86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3">
    <w:name w:val="Title"/>
    <w:basedOn w:val="1"/>
    <w:qFormat/>
    <w:uiPriority w:val="99"/>
    <w:pPr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2025-03-07T05:35:13Z</dcterms:created>
  <dc:creator>LENOVO</dc:creator>
  <cp:lastModifiedBy>青</cp:lastModifiedBy>
  <dcterms:modified xsi:type="dcterms:W3CDTF">2025-03-07T05:35:26Z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eyJoZGlkIjoiYjgyOGQyODI3NTAyMDJjYmRjZmFkZWE1NDI5Y2Q4NDIiLCJ1c2VySWQiOiIzNDI0MDMyNzIifQ==</vt:lpwstr>
  </property>
  <property fmtid="{D5CDD505-2E9C-101B-9397-08002B2CF9AE}" pid="4" name="ICV">
    <vt:lpwstr>5E0C2413E0A5441781B6BCF09CB565CC_12</vt:lpwstr>
  </property>
</Properties>
</file>